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Lucas Shannon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SLIDE INSURANCE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4221 W. BOY SCOUT BLVD.,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TAMPA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Slide Insurance Holdings, Inc.</w:t>
              </w:r>
            </w:hyperlink>
            <w:r>
              <w:rPr/>
              <w:t xml:space="preserve"> [ </w:t>
            </w:r>
            <w:r>
              <w:rPr>
                <w:rFonts w:ascii="Times;serif" w:hAnsi="Times;serif"/>
                <w:color w:val="0000FF"/>
                <w:sz w:val="24"/>
                <w:shd w:fill="FFFFFF" w:val="clear"/>
              </w:rPr>
              <w:t>SLDE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51"/>
        <w:gridCol w:w="929"/>
        <w:gridCol w:w="800"/>
        <w:gridCol w:w="617"/>
        <w:gridCol w:w="335"/>
        <w:gridCol w:w="895"/>
        <w:gridCol w:w="400"/>
        <w:gridCol w:w="743"/>
        <w:gridCol w:w="1338"/>
        <w:gridCol w:w="945"/>
        <w:gridCol w:w="14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22,919</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270,718</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9,019</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19.97</w:t>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261,699</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1,118,756</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Securus Risk Management, LLC</w:t>
            </w:r>
            <w:r>
              <w:rPr>
                <w:rFonts w:ascii="Times;serif" w:hAnsi="Times;serif"/>
                <w:color w:val="008000"/>
                <w:position w:val="7"/>
                <w:sz w:val="16"/>
                <w:sz w:val="20"/>
                <w:shd w:fill="FFFFFF" w:val="clear"/>
              </w:rPr>
              <w:t>(1)</w:t>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22,919</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2,193,144</w:t>
            </w:r>
            <w:r>
              <w:rPr>
                <w:rFonts w:ascii="Times;serif" w:hAnsi="Times;serif"/>
                <w:color w:val="008000"/>
                <w:position w:val="7"/>
                <w:sz w:val="16"/>
                <w:sz w:val="20"/>
                <w:shd w:fill="FFFFFF" w:val="clear"/>
              </w:rPr>
              <w:t>(2)</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(3)</w:t>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34,506,199</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(4)</w:t>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1,925,000</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(5)</w:t>
            </w:r>
          </w:p>
        </w:tc>
      </w:tr>
      <w:tr>
        <w:trPr/>
        <w:tc>
          <w:tcPr>
            <w:tcW w:w="17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1,925,000</w:t>
            </w:r>
          </w:p>
        </w:tc>
        <w:tc>
          <w:tcPr>
            <w:tcW w:w="9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(6)</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22,919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116,551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22,919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116,551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(3)</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reported herein are held by Securus Risk Management LLC, which is an entity controlled by the Reporting Person.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amount shown reflects the amount owned by the Reporting Person's spouse after the vesting of 22,919 restricted stock units on July 31, 2026 and the withholding of 9,019 shares of common stock for the payment of the tax liability associated therewith.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 shares of common stock beneficially owned by the Reporting Person's spouse.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 shares of common stock beneficially owned by the Reporting Person's spouse through IIM Holdings II, LLC.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 shares held through the Emma Cloonen Irrevocable Trust, of which the Reporting Person's spouse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 shares held through the Ava Cloonen Irrevocable Trust, of which the Reporting Person's spouse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restricted stock units vest in 24 equal monthly installments commencing on January 1, 2025 and ending on December 31, 2026, subject to the Reporting Person's continued employment or service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Andy Omiridis, Attorney-in-Fact for Shannon Lucas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2356" TargetMode="External"/><Relationship Id="rId5" Type="http://schemas.openxmlformats.org/officeDocument/2006/relationships/hyperlink" Target="http://www.sec.gov/cgi-bin/browse-edgar?action=getcompany&amp;CIK=00018864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1100</Words>
  <Characters>5853</Characters>
  <CharactersWithSpaces>6820</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