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lde-20251231.htm"/>
      <w:bookmarkStart w:id="1" w:name="ksslde20251231"/>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001-42707</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Slide Insurance Holdings,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87-1554861</w:t>
            </w:r>
          </w:p>
        </w:tc>
      </w:tr>
      <w:tr>
        <w:trPr/>
        <w:tc>
          <w:tcPr>
            <w:tcW w:w="30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4221 W. Boy Scout Blvd.,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Tampa, FL</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33607</w:t>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(813) 748-2030</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3061"/>
        <w:gridCol w:w="146"/>
        <w:gridCol w:w="826"/>
        <w:gridCol w:w="146"/>
        <w:gridCol w:w="331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SLDE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aggregate market value of the voting and non-voting common equity held by non-affiliates of the Registrant, based on the closing price of the shares of common stock on Nasdaq Global Select Market on June 30, 2025, was $1,568,646,159</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number of shares of Registrant’s Common Stock outstanding as of February 27, 2026 was 124,319,406.</w:t>
      </w:r>
    </w:p>
    <w:p>
      <w:pPr>
        <w:pStyle w:val="TextBody"/>
        <w:bidi w:val="0"/>
        <w:spacing w:before="6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jc w:val="left"/>
        <w:rPr>
          <w:rFonts w:ascii="Times New Roman" w:hAnsi="Times New Roman"/>
          <w:color w:val="000000"/>
          <w:sz w:val="15"/>
        </w:rPr>
      </w:pPr>
      <w:r>
        <w:rPr>
          <w:rFonts w:ascii="Times New Roman" w:hAnsi="Times New Roman"/>
          <w:color w:val="000000"/>
          <w:sz w:val="15"/>
        </w:rPr>
        <w:t>Portions of the Registrant’s definitive proxy statement for its 2026 annual meeting of stockholders, which proxy statement will be filed no later than 120 days after the close of the Registrant’s fiscal year ended December 31, 2025, are hereby incorporated by reference in Part III of this Annual Report on Form 10-K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rPr>
                <w:t xml:space="preserve">[Reserved] </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10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contains “forward-looking statements.” In some cases, you can identify these statements by forward- looking words such as “may,” “might,” “will,” “should,” “expect,” “plan,” “anticipate,” “believe,” “aim,” “estimates,” “predicts,” “potential” or “continue,” the negative of these terms and other comparable terminology. These forward-looking statements, which are subject to risks, uncertainties and assumptions about us, may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beliefs regarding our competition and relative market positioning;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projections, predictions, expectations, estimates or forecasts as to our business, financial and operational results and future economic performance;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expectations regarding our participation in Citizen’s depopulation program;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expand our business;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belief regarding the sufficiency of our compliance with cybersecurity regulations;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expectations regarding future capital expenditures;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anticipated growth strategies;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anticipated trends in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assumptions underlying our critical accounting policies and estimates;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proprietary data analytic capabilities and underwriting processes with regard to our risk selections;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beliefs regarding our relationships with our employees;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beliefs regarding the sufficiency of our facilities;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reinsurance program including capital, pricing and contract terms and conditions;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other similar expressions concerning matters that are not historical facts. </w:t>
      </w:r>
    </w:p>
    <w:p>
      <w:pPr>
        <w:pStyle w:val="TextBody"/>
        <w:bidi w:val="0"/>
        <w:spacing w:before="240" w:after="283"/>
        <w:jc w:val="left"/>
        <w:rPr>
          <w:rFonts w:ascii="Times New Roman" w:hAnsi="Times New Roman"/>
          <w:sz w:val="20"/>
        </w:rPr>
      </w:pPr>
      <w:r>
        <w:rPr>
          <w:rFonts w:ascii="Times New Roman" w:hAnsi="Times New Roman"/>
          <w:color w:val="000000"/>
          <w:sz w:val="20"/>
        </w:rPr>
        <w:t>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w:t>
      </w:r>
      <w:r>
        <w:rPr>
          <w:rFonts w:ascii="Times New Roman" w:hAnsi="Times New Roman"/>
          <w:i/>
          <w:color w:val="000000"/>
          <w:sz w:val="20"/>
        </w:rPr>
        <w:t>Risk Factors.</w:t>
      </w:r>
      <w:r>
        <w:rPr>
          <w:rFonts w:ascii="Times New Roman" w:hAnsi="Times New Roman"/>
          <w:color w:val="000000"/>
          <w:sz w:val="20"/>
        </w:rPr>
        <w:t>” You should specifically consider the numerous risks outlined under “</w:t>
      </w:r>
      <w:r>
        <w:rPr>
          <w:rFonts w:ascii="Times New Roman" w:hAnsi="Times New Roman"/>
          <w:i/>
          <w:color w:val="000000"/>
          <w:sz w:val="20"/>
        </w:rPr>
        <w:t>Risk Factors.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Annual Report to conform our prior statements to actual results or revised expectations.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are some important factors that could cause our actual results to differ from our expectations in any forward-looking statements: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limited operating history, which make our business and future prospects difficult to evaluate;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“Slide” brand becomes as widely known as incumbents’ brands or becomes tarnished;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macroeconomic conditions, including declining consumer confidence, inflation, high unemployment and the read of recession;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the Company's underwriting and profitability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establish accurate reserves, failure to adjust claims accurately, the denial of claims or our failure to accurately and timely pay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expand within the United States and additional costs and risks we will be subject to as a result;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intense competition in the segments of the insurance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reinsurance is unavailable at current levels and prices, and the counterparty risk we are subject to as a result;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examinations we are periodically subject to by our state insurance regulators, which could result in adverse examination findings and necessitate remedial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historically cyclical nature of the insurance business, including the market for homeowners and commercial residential insurance, which may result in us experiencing periods with excess underwriting capacity and unfavorable premium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weather conditions (including severity and frequency of storms, hurricanes, tornadoes, wildfires and hail);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highly regulated environment we operate in and the variety of complex federal and state laws and regulations we are subject to;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significantly increased costs we will incur and substantial management time we will devote as a result of operating as a public company.</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 used herein, “Slide,” the “Company,” “we,” “us” and “our” refer to Slide Insurance Holdings, Inc. and its consolidated subsidiaries.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Launched in 2021, we are a technology enabled, fast-growing, coastal specialty insurer. We focus on profitable underwriting of single family, condominium and commercial residential policies in the property and casualty (P&amp;C) industry in coastal states along the Atlantic seaboard through our insurance subsidiary, Slide Insurance Company (“SIC”). In February 2025, we acquired an additional insurance subsidiary, Slide Specialty Insurance Company ("Slide Specialty"), which is licensed in New York, New Jersey, Rhode Island and South Carolina. We utilize our differentiated technology and data-driven approach to focus on market opportunities that are underserved by other insurance companies. We acquire policies both from inorganic block acquisitions and subsequent renewals, as well as new business sales through a combination of independent agents and our direct- to-consumer (“DTC”) channel, through which we sell our insurance products directly to end consumers, without the use of retailers, brokers, agents or other intermediaries. We do not depend on any one key product or product line within the coastal specialty homeowners and commercial residential insurance market. We control all aspects of our value chain, including technology, underwriting, actuarial, distribution, claims, risk management and reinsurance which allows us to maximize profitability while maintaining disciplined underwriting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goal is to deliver long-term value for stockholders by focusing on underserved, coastal specialty markets where market capacity is limited and demand for insurance products is high. Coastal specialty market demand for insurance products has increased over the last few years as the larger, national insurance carriers have reduced their underwriting capacity in such markets which has created a unique market opportunity for us to capitalize on the imbalance of supply and demand. A prime example of this market shift is Florida, where large national carriers have reduced their market share of premium from 62% in 1999 to 28% in 2022, creating an opportunity for accretive expansion. We have built a highly entrepreneurial company that we believe can identify and execute on such opportunities faster and more profitably than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we have a significant technological advantage that allows us to assess, manage and price risk for individual and bulk policy acquisitions. Our technology is built to estimate future costs of policies and compare it back to our base rates to better understand profitability in real time on an individual risk basis and to assess large and/or bulk transactions. This technology enables us to only select policies that we believe to be profitable based on future reinsurance and all other perils (AOP) costs. Our underwriting technology has been an important component of our success and is backed by our proprietary approximately $8.9 trillion TIV underwriting and claims dataset, which provides us with real-time intelligence to drive superior decision making. We believe that traditional markets inefficiently and inaccurately underwrite coastal specialty risks without properly understanding prospective loss ratios and reinsurance costs. We believe other insurance companies do not have the same ability to assess these metrics in real time and their technology limits their ability to consistently select profitable policies. We believe our underwriting technology allows us to more accurately assess the future cost of each policy, which enables us to focus on profitable growth opportunities often overlooked or mispriced by our competitors. We believe our proprietary technology combined with our highly experienced and entrepreneurial leadership team allow us to make better underwriting decisions that generate higher margins for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market and write insurance policies through two channels: our independent agents and DTC. As we continue to scale our operations, we anticipate that our DTC distribution will grow through our focus on accretive market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significantly grown our business and scaled it profitably in our targeted coastal specialty markets by leveraging our seasoned management team, technology and strong balance sheet. We have grown our shareholders’ equity from $102 million at the end of 2021 to $1,113 million at the end of 2025, a CAGR of 55%. In this same time period, we have grown our in force premium to $1,796 million at the end of 2025, while running an average consolidated combined ratio of 66.3%. Our return on equity and combined ratio were 57.4% and 52.1% for 2025, and 60.0% and 72.3% for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2025 and December 31, 2024, we had gross premiums written of $1,796 million and $1,334 million, policy fees of $8.2 million and $6.6 million, consolidated combined ratio of 52.1% and 72.3% and net income of $444 million and $201 million, respectively. As of December 31, 2025, we had total assets of $2.9 billion, shareholders’ equity of approximately $1,113 million and tangible shareholders’ equity of approximately $1,111 million. For the year ended December 31, 2025, we had a return on equity of 57.4% and a return on tangible equity of 57.9%.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Underwriting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proprietary technology, disciplined underwriting standards and highly technical underwriting talent allow us to make better underwriting decisions that generate higher margins for our business. Our underwriting strategy is focused on leveraging our approximately $8.9 trillion TIV policy level data repository, cutting edge process automation, predictive analytics and aerial imagery to make dynamic underwriting decisions and generate consistently strong risk-adjusted returns across market cycles. We believe that traditional markets inefficiently and inaccurately underwrite coastal specialty risks without properly considering potential future losses and reinsurance costs. We believe our underwriting technology allows us to assess the future cost of each policy more accurately, which enables us to focus on profitable growth opportunities often overlooked or mispriced by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our underwriting team consisted of personal lines and commercial lines underwriters and is led by a committee of senior leaders. Our underwriting team is highly knowledgeable, experienced and has deep relationships with key constituents within our core markets. We amplify this expertise with advanced technology and data analytics, driving superior risk selection and best-in-class underwriting profitability. Additionally, we continue to assess the use of new technology-enabled tools to assist us with inspections as well as other components of the underwriting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utilize the Duck Creek policy management system, which enables us, through partner integrations and our own proprietary technology, to calculate replacement costs and obtain real-time loss history on each application prior to binding, generate policyholder forms and manage and calculate the estimated reinsurance costs at the point of sale. The underwriting eligibility requirements that we utilize are programmed into this platform, which can easily be updated to effect desired production results. In addition to ensuring eligibility through underlying risk exposure returns and user inputs, our application is designed to capture key rating elements of a risk, such as the distance to the coast, construction materials, wind mitigation features, age of the home and roof, and loss history. We update these requirements periodically to reflect our experience with risks in certain age brackets by year built and age of roof in territories with significant wind or hail claim activity. We also have the capability to implement binding restrictions by state, county, rating territory and/or agency, providing real-time risk management in the face of catastrophe events or similarly imminent exposure. For every single-family property new risk we write, we review the aerial imagery and utilize additional AI filters on the aerial imagery to assist underwriters in determining the condition or hazards that exist on the property. If needed, we may order an inspection from a third-party vendor if they are unable to determine the current condition of the home by using aerial, oblique and panorama imagery and publicly available permit data sources. Policies which fail to meet our criteria are declined at quote or, upon completion of our new business review, are cancelled for underwriting reasons. The portfolio is managed and reviewed for compliance with our underwriting guidelines and policies may be non-renewed for a limited set of reasons, as documented in the policy forms and in compliance with statutory requirements. The underwriting criteria that we consider will continue to evolve as our business grows and expands.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put in place rigorous controls over our underwriting processes with constant monitoring of operations and application of underwriting guidelines and procedures. We hold weekly meetings with the underwriters to ensure processes and standards are consistently adhered to, as well as to address any changing market conditions or issues that may arise. In addition, we conduct regular audits within the underwriting function to ensure compliance and quality. These audits review new business, endorsements, renewals, cancellations and non-renewals. The results are reviewed with the staff and action is taken to address any perceived needs. This review enables us to optimize the design and pricing of our products as well as our reinsurance program including the purchase of appropriate reinsurance coverage.</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claims operations are a core component of our business strategy and we believe are a key competitive differentiator for us. Our three pillars of focus are customer service, accuracy and efficiency. The claims department is led by our Chief Claims Officer, who has over 30 years of claims experience.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closely manage all aspects of the claims workflow, from processing the initial filing to offering remediation services, as we believe that it is important to have direct oversight over the claims process. We aim to handle all claims with our employees, and do not intend to outsource our attritional claims functions at any point apart from field adjusting or inspection services, where we may use outside personnel. In the limited instances where we do not handle claims in-house, such as a high-volume catastrophic event, we use a combination of inside and outside adjusters to perform examining, field adjusting, special assignments and catastrophe inspection services. These partners have been vetted, approved and trained well in advance and have committed the required resources. We maintain control over the handling process, reserving and payment authority with the outside support reporting directly to our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focused on building a culture of automation and efficiency. Our claims department benefits from the implementation of workflows where certain actions are triggered based on specific claims events which reduces lower-value administrative tasks and allows for more efficient decision-making and claims resolution.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built a preferred vendor network to provide various mitigation services such as tarping, water mitigation and tree removal. By pre-negotiating contracts with these vendors, in the event of covered damages, we can accelerate the restoration process while minimizing repair costs. For example, during Hurricane Ian, we utilized this network to reduce costs and mitigate further damage while improving customer satisfaction. We also maintain communication with policyholders and encourage them to use our preferred vendor network to protect them from poor workmanship and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built-in processes and trainings for the detection and prevention of fraudulent activity in claims. We continue to research, test and pilot the use of machine learning and artificial intelligence to flag early indications of fraud and the potential for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streamlined claims management system, we use enterprise-wide data management to create a data-driven claims life cycle. We aim to determine relationships between similar claims and outcomes and utilize predictive analytics from the data to triage, assign, investigate and evaluate claims. The use of our historical dataset with this real-time business intelligence platform provides the claims team information and performance metrics that drives improvement in efficiency, accuracy and response time and helps to avoid litigation.</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market insurance policies through two channels: our independent agents and DTC. We are an agency-focused company and pride ourselves on our ability to provide superior customer service to both our agents and policyholders. Our management and underwriting teams have strong and well-established relationships with our distribution partners. We look to recruit independent agents through these strong relationships alongside cooperative efforts with the various states’ agent associations, and by seeking contracts with agencies currently placing significant volume with Citizens, to the extent those agents are willing to accept new appointments.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agents provide us with valuable input regarding market needs through agency visits, strategy meetings and feedback sessions. We provide our agents with extensive training in the use of our agency portal, product offerings, underwriting requirements and exposure management efforts. Violet, our proprietary underwriting system, allows our agents to quickly bind a policy within minutes, which we believe helps to drive improved quote and bind ratios. Most of the increased speed and efficiency of Violet is driven by process automation that pulls risk characteristics, claim history and other required data points, versus legacy systems in the insurance industry that require agents to manually input quoting data. Violet’s efficiency and speed makes it a preferred choice for our agents. We launched Violet to a small number of agencies in September of 2023 and to all Florida agencies on January 29,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our independent agent distribution network, we are also focused on building out our DTC distribution channel given the usefulness of this channel in the long-term. Our current strategy is focused on low-cost customer acquisition through embedded relationships with mortgage bankers and building trade organizations, among other low-cost channels. As we continue to scale our operations, we anticipate that our DTC distribution will continue to scale and focus on accretive market opportunities. By combining our advanced technology and superior underwriting expertise, we are able to focus our DTC distribution on select geographies that produce outsized returns.</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platform is at the center of everything we do and every decision we make, helping us win profitable business. Our technology platform is built on a foundation of insurance principles which leverage Big Data and process automation. We have a proprietary approximately $8.9 trillion TIV dataset which enables us to build superior artificial intelligence and machine learning tools to streamline underwriting, claims and predictive analytics, which drive lower loss ratios by focusing risk selection on higher margin generating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heart of our technology platform is our comprehensive, enterprise-wide data repository, which we have used to pioneer our prospective underwriting model to assess individual policy profitability at the point-of-sale. Our model estimates forward-looking reinsurance costs on a policy level basis and dynamically adjusts the reinsurance cost as the amount at risk, concentration and other factors change across the portfolio, enabling us to accurately predict reinsurance costs at the policy level.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partner with an aerial imagery provider which is incorporated into our technology platform. We use post-catastrophe aerial imagery and roof damage scores for all affected risks within 48 hours of an event along with our traditional overlaid storm track information, to triage our catastrophe response and deploy our construction resources to mitigate the damage.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Automation is another key area of focus. We have automated as many business processes as possible. For example, our claims team uses robotic process automation (“RPA”) to automate the Electronic First Notice of Loss (“eFNOL”) logging process. This was particularly helpful during Hurricane Ian to track and effectively resolve outstanding claims. We also use proprietary RPA to feed data into our underwriting AI for faster and more accurate results.</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Risk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risk management function is at the center of our decision-making and our day-to-day activities and is a core component of our strategy to generate superior risk-adjusted returns.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management function is led by Matt Larson, our CRO, who has over 17 years of insurance experience. Our risk management team carefully manages our exposures and adheres to strict corporate risk appetite and tolerances for exposure accumulation. The team is supported by individuals with extensive experience focusing on the coastal exposed property business. We focus on reinsurance, data and company-wide analytics with a framework that allows for real-time exposure management and drives strategic growth while adhering to our corporate risk appetite. Our unique approach to risk management allows us to project our aggregations, reinsurance costs and underwriting profitability on a prospective basis. We have established key risk tolerances and exposure management measures to protect our capital base from severe events. Our goal is to hedge our risk exposure and consolidated retention caused by a catastrophe event to no more than 25% of our annual pre-tax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license Verisk Touchstone and Moody's RMS to regularly model in-force policies and review key metrics surrounding aggregations and volatility of the portfolio. We also use the Touchstone and RMS platforms to produce PML analysis at specified intervals to validate our forecasts. We conduct regular modeling aimed at maintaining an optimal portfolio with minimal risks in higher catastrophe cost segments. Our underwriting systems are built to set territorial rules and restrictions in real-time to ensure that the Company does not exceed aggregations based on corporate risk tolerance levels. In addition, we conduct regular reviews of financial underwriting results in tandem with the underwriting team. We created a proprietary Florida building code database, which is used to validate primary and secondary risk characteristics, ensuring data accuracy for our portfolio and underwriting technology.</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Reinsurance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strategically purchase reinsurance to limit exposure to catastrophic events and protect our capital base from severe convective storms and hurricanes. Reinsurance is an important part of our risk management strategy and premiums paid to reinsurers is our single largest cost. We seek a diversified portfolio of reinsurance with the use of traditional reinsurance capacity, utilization of the FHCF and the use of multi-year catastrophe bonds. All reinsurance we purchase is on an excess of loss basis and covers all perils. We currently purchase catastrophe excess of loss reinsurance to the 143-year return period, in excess of the 130-year return period primarily used in Florida and required by our rating agency and regulators. As of June 1, 2025, 100% of our private reinsurance recoverables were either fully collateralized or derived from reinsurers rated “A-” (Excellent) by A.M. Best, or better.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annual reinsurance program, which is segmented into layers of coverage, protects us for excess property catastrophe losses and loss adjustment expenses. In placing our reinsurance program, we seek to obtain multiple years of coverage for certain layers through multi-year reinsurance agreements. We believe this limits uncertainty on reinsurance coverage and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FHCF is a tax-exempt state trust fund under the supervision of the Florida State Board of Administration. The fund is operated with the objective of maintaining adequate homeowners and commercial residential insurance capacity within the state of Florida. Participation in FHCF is mandatory for Florida domestic residential property insurers. The fund provides excess of loss coverage below the cost that would be provided for similar coverage within the private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treat our reinsurers as long-term partners. As such, we target underwriting profitability on a gross basis, before utilization of reinsurance, to ensure consistent support from our reinsurance partners and to protect ourselves from changes in the reinsurance market. Our sophisticated modeling and large database allow us to consider prospective reinsurance costs in our underwriting decisions, ensuring that we target profitable policies aligned with our reinsurance program. We include assumptions on individual policies and the prospective impact of each additional risk on our PML and expected reinsurance costs, which combined with multi-year reinsurance capacity limits uncertainty and unexpected increases in future reinsurance costs. Based upon catastrophe modeling, it would take an event beyond our 1-in-143-year PML to exhaust our 2025 –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catastrophe coverage. We currently seek to retain no more than 25% of our annual pre-tax earnings from a first-event catastrophic loss that is below the top of our reinsurance program. We believe that our reinsurance program provides adequate coverage for named storms.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accessing catastrophe reinsurance coverage through the capital markets, we aim to diversify our sources of reinsurance capacity in a cost-effective manner and receive multi-year coverage, protecting our capital and maintaining profitability. In 2023, we executed our first two reinsurance catastrophe bonds with Purple Re Ltd. (“Purple Re”), a Bermuda special purpose insurer, which provides three years of coverage from catastrophe losses caused by certain named storms, including hurricanes. In 2024, we executed our third reinsurance catastrophe bond. In 2025, we executed our fourth catastrophe reinsurance bond, which includes two tranches. As of June 1, 2025, we have $660 million of coverage remaining through these four notes. Series 2023-1 was issued in April 2023 and expires in April 2026 and Series 2023-2 was issued in July 2023 and expires in June 2026, and Series 2024-1 was issued in April 2024 and expires in June 2027. Series 2025-1 tranches A and B was issued in April 2025 and expires in June 2028. The limit of coverage of $660 million is fully collateralized by a reinsurance trust account for the benefit of SIC. SIC makes periodic premium payments to Purple Re during this three-year risk period. Purple Re issued $660 million of principal-at-risk variable notes to fund the reinsurance trust account and its obligations to SIC under the reinsurance agreement. The maturity date of the notes may be extended up to two additional years to satisfy claims following covered catastrophic events that have occurred during the three-year term of the respective reinsurance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 2026 reinsurance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2025-2026 reinsurance program incorporates the mandatory coverage required by law to be placed with the FHCF. We also have purchased private reinsurance below, alongside and above the FHCF layer. The following describes the layers of our 2025-2026 reinsurance program: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Our Retention. </w:t>
      </w:r>
      <w:r>
        <w:rPr>
          <w:rFonts w:ascii="Times New Roman" w:hAnsi="Times New Roman"/>
          <w:color w:val="000000"/>
          <w:sz w:val="20"/>
        </w:rPr>
        <w:t>We have a consolidated first event retention of $94.7 million of losses and loss adjustment expenses, which is made up of $77.7 million of first event captive participation and $17.0 million of captive RPP participation. We have a consolidated second event retention of $77.7 million, which is retained within the captive. We have a consolidated third event retention of $50 million, which is retained within the captive.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Layer Below FHCF. </w:t>
      </w:r>
      <w:r>
        <w:rPr>
          <w:rFonts w:ascii="Times New Roman" w:hAnsi="Times New Roman"/>
          <w:color w:val="000000"/>
          <w:sz w:val="20"/>
        </w:rPr>
        <w:t>Immediately above and alongside our retention, we purchase $437.4 million of reinsurance from highly rated third-party reinsurers. Through the placement of prepaid layers and payment of a reinstatement premium, we have two full limits below the FHCF. To the extent that the limit below the FHCF, or a portion thereof, is exhausted in a first catastrophic event, we have purchased prepaid layers or reinstatement premium protection insurance to pay the required premium necessary for the reinstatement of this coverage.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FHCF Layer. </w:t>
      </w:r>
      <w:r>
        <w:rPr>
          <w:rFonts w:ascii="Times New Roman" w:hAnsi="Times New Roman"/>
          <w:color w:val="000000"/>
          <w:sz w:val="20"/>
        </w:rPr>
        <w:t>Our FHCF coverage includes an estimated maximum provisional limit of 90% of $1,047.9 million, or $943.1 million, in excess of our retention and private reinsurance of $557 million. The limit and retention of our FHCF coverage is subject to upward or downward adjustment based on, among other things, submitted exposures to FHCF by all participants. The FHCF estimate is currently based on the most up-to-date 2025 rates and multiples, as of December 31, 2025. We purchase coverage alongside, above, and below the FHCF layer from third party reinsurers. The layer alongside is in the amount of $92 million. The private reinsurance is generally adjusted to fill in gaps in our FHCF coverage. The FHCF coverage cannot be reinstated once exhausted, but it does provide coverage for multiple events.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Purple Re Layers. </w:t>
      </w:r>
      <w:r>
        <w:rPr>
          <w:rFonts w:ascii="Times New Roman" w:hAnsi="Times New Roman"/>
          <w:color w:val="000000"/>
          <w:sz w:val="20"/>
        </w:rPr>
        <w:t>As described above, we entered into a catastrophe reinsurance agreement with Purple Re, which provides coverage for $660 million of losses and loss adjustment expenses in excess of $1 billion, collateralized by the proceeds of the issuance. To the extent our FHCF and private coverage is partially or entirely exhausted by a first catastrophic event, Purple Re would provide coverage of $660 million of losses and loss adjustment expenses in excess of $607 million.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Layer Above. </w:t>
      </w:r>
      <w:r>
        <w:rPr>
          <w:rFonts w:ascii="Times New Roman" w:hAnsi="Times New Roman"/>
          <w:color w:val="000000"/>
          <w:sz w:val="20"/>
        </w:rPr>
        <w:t xml:space="preserve">We have additional $347 million of coverage alongside and above the Purple Re 2023-1, 2023-2, 2024-1 2025-1 B, and 2025-1 A catastrophe bonds of loss and loss adjustment expense. This coverage cannot be reinstated once exhausted, but it does provide coverage for multiple events.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Third Event. </w:t>
      </w:r>
      <w:r>
        <w:rPr>
          <w:rFonts w:ascii="Times New Roman" w:hAnsi="Times New Roman"/>
          <w:color w:val="000000"/>
          <w:sz w:val="20"/>
        </w:rPr>
        <w:t>We have an additional $32.4 million of coverage in excess of $50 million consolidated retention of loss and loss adjustment expense for a third event. This coverage is in place to protect against frequency of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twelve months ending December 31, 2025, we have purchased reinsurance from the following sources (i) the FHCF, (ii) 30 private reinsurers, which were all rated “A-” or higher by A.M. Best or S&amp;P, (iii) four private reinsurers that have provided collateral to fully cover their exposure and (iv) a protected cell reinsurer whose shares are owned by Slide Reinsurance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Holdings, LLC, our wholly-owned reinsurance subsidiary. Our entire reinsurance program is placed with AM Best “A” rated reinsurers or better, fully collateralized reinsurers, or the FHCF.</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Background and Slide’s Participation in the Citizens Depopulation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began to assume policies from Citizens in the second half of 2023. Citizens is the largest homeowners insurer in the state of Florida as measured by premium in force and acts as the state-owned insurer of last resort. It is incentivized by the state to transfer policies from its books to the private market in order to reduce systemic risk to the insurance market. Citizens generally offers nine personal lines and six commercial line opportunities to assume policies over a calendar year. The Company has selectively assumed personal residential and commercial residential policies from Citizens in 23 separate assumption transactions between August 2023 and December 2025. For context, the direct earned premiums of the Citizens policies assumed by the Company during the course of 2025 prior to the date of assumption of such policies was $365,462 thousand for the year ended December 31, 2024 according to the Annual Statement of Citizens Property Insurance Corporation for 2023 and management’s calculations. In addition, the unearned premiums of Citizens policies assumed by the Company during 2024, was $227,241 thousand as of December 31, 2024 according to the Citizens Annual Statement and management’s calculations.</w:t>
      </w:r>
    </w:p>
    <w:p>
      <w:pPr>
        <w:pStyle w:val="TextBody"/>
        <w:bidi w:val="0"/>
        <w:spacing w:before="240" w:after="283"/>
        <w:jc w:val="left"/>
        <w:rPr>
          <w:rFonts w:ascii="Times New Roman" w:hAnsi="Times New Roman"/>
          <w:sz w:val="20"/>
        </w:rPr>
      </w:pPr>
      <w:r>
        <w:rPr>
          <w:rFonts w:ascii="Times New Roman" w:hAnsi="Times New Roman"/>
          <w:color w:val="000000"/>
          <w:sz w:val="20"/>
        </w:rPr>
        <w:t>In order to be eligible to participate in an assumption transaction, the Company must first apply to the FLOIR for approval to assume a specified number of policies approximately four and a half months prior to the proposed assumption date. The Company prepares and submits an application showing the cumulative pro forma financial impact of assuming all policies for which it has applied and all policies it has been previously approved to assume. Approximately 45 days after the application has been submitted the Company is informed whether they have been approved for the assumption. Once Slide receives FLOIR approval indicating the maximum number of policies it may assume, Citizens provides the Company with a list of policies eligible for assumption and the relevant policy data. Slide evaluates these policies over an approximately two-week period and submits to Citizens a list of policies it would like to assume, together with estimated renewal premiums to Citizens, as discussed in more detail below under the sub-heading “—</w:t>
      </w:r>
      <w:r>
        <w:rPr>
          <w:rFonts w:ascii="Times New Roman" w:hAnsi="Times New Roman"/>
          <w:i/>
          <w:color w:val="000000"/>
          <w:sz w:val="20"/>
        </w:rPr>
        <w:t>Slide’s Process and Procedures for Selecting Citizens Policies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Citizens then sends all private insurance company offers to the policyholder, which includes the amount of their estimated premium upon renewal. Policyholders generally have approximately six weeks to select their preferred insurance carrier. If the renewal premium for any private insurer’s offer is within 20% of Citizens’ renewal premium, the policyholder cannot elect not to participate in, or “opt out” of the assumption by such private insurer (such as the Company). If the renewal premium comparison is more than 20% of Citizens’ renewal premium, the policyholder may “opt out” of the assumption. Upon an assumption by Slide, Citizens then transfers to Slide the unearned premiums as of the effective date of the assumption transaction for the policies that have not opted out of such transaction. A policyholder may also opt-out during the 30-day period following the effective date of the assumption transaction, but only if the premium difference between Slide’s renewal and Citizens’ renewal is greater than 20%. If a policyholder opts-out during such period, Slide returns the applicable unearned premiums to Citizens.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its typical assumption agreements with Citizens, the Company assumes all liability and obligation for losses under the assumed policies arising on or after the effective date of the assumption transaction, and the Company directly services all policyholder claims related to such losses. Citizens remains liable for all losses under the assumed policies arising prior to the effective date of the assumption transaction and is solely responsible for servicing all policyholder claims related to such losses. All of the policies selected by the Company are annual policies which are rewritten at the Company’s rates using the Company’s coverage and forms within a year following their assumption from Citizens. From the time to initial application to assumption by the Company, the process takes approximately four and a half months.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Slide’s Process and Procedures for Selecting Citizens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Underwriting Advisory Council sets general underwriting guidelines and goals around future assumptions from Citizens; the Board of Directors has delegated the underwriting of policies, including Citizens assumptions, to the Company’s management. The underwriting guidelines rarely change but the Company’s overall goals do change from assumption to assumption, based on time of year, current portfolio distribution, reinsurance, and other market factors. The Company’s risk management team uses these guidelines and goals to analyze each policy’s initial data file provided by Citizens to determine which policies to apply for. The Company’s risk management team models the policies within the initial data file and performs reinsurance cost estimation for each policy, and the Company’s actuarial team rates the policies using FLOIR approved Slide rates and 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risk management team then compares the Company’s estimated renewal premium against the estimated reinsurance costs to determine which policies are candidates for selection. Potential participants in the Citizens take-out process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are only permitted to select policies within 40% of Citizens’ estimated renewal premium – and therefore policies over 40% are removed from the candidate pool.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risk management team then models the policy candidates. The model produces probable maximum loss which, along with exposure aggregation and estimated reinsurance costs, are used to calculate the most optimal policy selection. Finally, the Company’s risk management team presents the results to the Underwriting Advisory Council and a decision is made as to which policies to apply for a given renewal period.</w:t>
      </w:r>
    </w:p>
    <w:p>
      <w:pPr>
        <w:pStyle w:val="TextBody"/>
        <w:bidi w:val="0"/>
        <w:spacing w:before="240" w:after="283"/>
        <w:jc w:val="left"/>
        <w:rPr>
          <w:rFonts w:ascii="Times New Roman" w:hAnsi="Times New Roman"/>
          <w:sz w:val="20"/>
        </w:rPr>
      </w:pPr>
      <w:r>
        <w:rPr>
          <w:rFonts w:ascii="Times New Roman" w:hAnsi="Times New Roman"/>
          <w:color w:val="000000"/>
          <w:sz w:val="20"/>
        </w:rPr>
        <w:t>The Company currently expects to participate in Citizens depopulation program in the short term consistent with its past practice. However, the Company continually evaluates its participation in the Citizens depopulation program, and may in the future decrease, or cease its participation in the program entirely, subject to market conditions as well as the underlying quality of the policies subject to the program. See “</w:t>
      </w:r>
      <w:r>
        <w:rPr>
          <w:rFonts w:ascii="Times New Roman" w:hAnsi="Times New Roman"/>
          <w:i/>
          <w:color w:val="000000"/>
          <w:sz w:val="20"/>
        </w:rPr>
        <w:t>Risk Factors—We may pursue opportunities to participate in Citizens’ take-out program and directly assume policies issued by Citizens to policyholders who were otherwise unable to obtain private insurance. Take-out opportunities are subject to a number of timing and execution risks, and we may fail to participate in Citizens’ take-out programs on terms that are ultimately profitable to us, or at all</w:t>
      </w:r>
      <w:r>
        <w:rPr>
          <w:rFonts w:ascii="Times New Roman" w:hAnsi="Times New Roman"/>
          <w:color w:val="000000"/>
          <w:sz w:val="20"/>
        </w:rPr>
        <w:t>” for more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Slide’s Criteria for Assuming Citizens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several core criteria during its underwriting process with Citizens. The most important criteria are geographic distribution, distance to coast, risk characteristics such as construction, occupancy, square footage, year of construction, roof shape, roof age, and claims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criteria for the policies assumed in calendar year 2025 is provided below and compared to the Company’s portfolio at year-end 2024. As illustrated in the tabular disclosure in the sub-sections that follow, the risk characteristics of the assumed Citizens policies closely tracks the risk characteristics of the Company’s stand-alone historical portfolio. As a result, the Company expects the financial performance of the Citizens policies it assumes to closely track the financial performance of the balance of the Company’s portfolio of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tables that follow in each sub-heading in this section, the following terms have the meanings ascribed to them below: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PIF</w:t>
      </w:r>
      <w:r>
        <w:rPr>
          <w:rFonts w:ascii="Times New Roman" w:hAnsi="Times New Roman"/>
          <w:color w:val="000000"/>
          <w:sz w:val="20"/>
        </w:rPr>
        <w:t>: Policies in force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Locations</w:t>
      </w:r>
      <w:r>
        <w:rPr>
          <w:rFonts w:ascii="Times New Roman" w:hAnsi="Times New Roman"/>
          <w:color w:val="000000"/>
          <w:sz w:val="20"/>
        </w:rPr>
        <w:t>: Number of buildings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TIV</w:t>
      </w:r>
      <w:r>
        <w:rPr>
          <w:rFonts w:ascii="Times New Roman" w:hAnsi="Times New Roman"/>
          <w:color w:val="000000"/>
          <w:sz w:val="20"/>
        </w:rPr>
        <w:t>: Total Insured Value, including Coverages A (dwelling), B (other structures), C (contents), and D (loss of use)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Average TIV</w:t>
      </w:r>
      <w:r>
        <w:rPr>
          <w:rFonts w:ascii="Times New Roman" w:hAnsi="Times New Roman"/>
          <w:color w:val="000000"/>
          <w:sz w:val="20"/>
        </w:rPr>
        <w:t>: TIV divided by Locations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Premium</w:t>
      </w:r>
      <w:r>
        <w:rPr>
          <w:rFonts w:ascii="Times New Roman" w:hAnsi="Times New Roman"/>
          <w:color w:val="000000"/>
          <w:sz w:val="20"/>
        </w:rPr>
        <w:t>: In force premium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Average Premium</w:t>
      </w:r>
      <w:r>
        <w:rPr>
          <w:rFonts w:ascii="Times New Roman" w:hAnsi="Times New Roman"/>
          <w:color w:val="000000"/>
          <w:sz w:val="20"/>
        </w:rPr>
        <w:t>: Premium divided by Locations</w:t>
      </w:r>
    </w:p>
    <w:p>
      <w:pPr>
        <w:pStyle w:val="TextBody"/>
        <w:bidi w:val="0"/>
        <w:spacing w:before="240" w:after="283"/>
        <w:jc w:val="left"/>
        <w:rPr>
          <w:rFonts w:ascii="Times New Roman" w:hAnsi="Times New Roman"/>
          <w:sz w:val="20"/>
        </w:rPr>
      </w:pPr>
      <w:r>
        <w:rPr>
          <w:rFonts w:ascii="Times New Roman" w:hAnsi="Times New Roman"/>
          <w:color w:val="000000"/>
          <w:sz w:val="20"/>
        </w:rPr>
        <w:t>For the reader’s reference, the “County” heading table in the sub-section “—</w:t>
      </w:r>
      <w:r>
        <w:rPr>
          <w:rFonts w:ascii="Times New Roman" w:hAnsi="Times New Roman"/>
          <w:i/>
          <w:color w:val="000000"/>
          <w:sz w:val="20"/>
        </w:rPr>
        <w:t>Geographic Distribution</w:t>
      </w:r>
      <w:r>
        <w:rPr>
          <w:rFonts w:ascii="Times New Roman" w:hAnsi="Times New Roman"/>
          <w:color w:val="000000"/>
          <w:sz w:val="20"/>
        </w:rPr>
        <w:t>” below includes both PIF and Locations. In contrast to personal residential policies, commercial policies commonly have multiple locations with distinct rating characteristics. In the sub-sections “—</w:t>
      </w:r>
      <w:r>
        <w:rPr>
          <w:rFonts w:ascii="Times New Roman" w:hAnsi="Times New Roman"/>
          <w:i/>
          <w:color w:val="000000"/>
          <w:sz w:val="20"/>
        </w:rPr>
        <w:t>Distance to Coast</w:t>
      </w:r>
      <w:r>
        <w:rPr>
          <w:rFonts w:ascii="Times New Roman" w:hAnsi="Times New Roman"/>
          <w:color w:val="000000"/>
          <w:sz w:val="20"/>
        </w:rPr>
        <w:t>”, “—</w:t>
      </w:r>
      <w:r>
        <w:rPr>
          <w:rFonts w:ascii="Times New Roman" w:hAnsi="Times New Roman"/>
          <w:i/>
          <w:color w:val="000000"/>
          <w:sz w:val="20"/>
        </w:rPr>
        <w:t>Primary and Secondary Risk Characteristics</w:t>
      </w:r>
      <w:r>
        <w:rPr>
          <w:rFonts w:ascii="Times New Roman" w:hAnsi="Times New Roman"/>
          <w:color w:val="000000"/>
          <w:sz w:val="20"/>
        </w:rPr>
        <w:t>”, locations are shown, not PIF, as a single commercial policy can contain more than one risk characteristic and would therefore, in management’s view, result in inaccurate PIF totals.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that the strong correlation between the primary and secondary characteristics of the assumed Citizens policies and the Company’s historical portfolio discussed below strongly supports the Company’s expectation that the financial performance of the assumed policies will approximate that of the rest of the Company’s portfolio and that therefore the Company’s historical financial performance is the best indicator of the amount, timing and probability of future cash flows and liabilities.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Geographic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geographic distribution of Citizens’ policies to enhance balance of risks and to prevent unintended concentrations of risk. Concentrations of risk increase the risk of catastrophe losses and result in higher reinsurance costs. Accordingly, the Company often selects geographical distributions that differ from its existing distributions to enhance its spread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risk and reduce or maintain current reinsurance expenses. As part of its underwriting strategy, the Citizens policies selected by the Company generally have similar levels of geographic distribution as the Company’s existing policies in force and are selected in complimentary regions so as not to materially alter the geographic distribution of the Company’s policies in force. The Company uses geographic spread of risk and policy distribution to form opinions about policy distribution and the reinsurance costs associated with the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the expected loss in a given geography, frequency of events (number of events) and severity of events (e.g., Category 5 wind speeds versus Category 1 wind speeds) are considered by the Company. Having a high frequency and high severity will on average produce more loss than a low frequency and low severity relative to comparable policies. This is where the Company’s catastrophe models come into consideration, as they take into account both frequency and severity of events. When Florida is the first landfalling area in the catastrophe model the Company licenses, 34% of all events make landfall in Monroe or Miami-Dade counties and 37% of the major hurricanes (i.e., Category 3, 4 and 5) are in those two counties. In contrast, the four most Western counties in the Florida Panhandle (Escambia, Santa Rosa, Okaloosa, and Walton) make up 9% of all hurricanes and 7% of the major hurricanes. As a result, the same policy in Walton County is less risky than Miami-Dade County.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importance of geographic distribution in the Company’s risk balancing efforts is illustrated by the combined Slide and Citizens by county table below. For purposes of evaluating risk, the Company groups Florida counties into regions. Within the catastrophe model the Company licenses, the following shows the percentage of total events that make landfall in a given region, the percentage of major hurricanes, and the percent of total insured value: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Southeast Florida (Miami, Broward and Palm Beach counties): </w:t>
      </w:r>
      <w:r>
        <w:rPr>
          <w:rFonts w:ascii="Times New Roman" w:hAnsi="Times New Roman"/>
          <w:color w:val="000000"/>
          <w:sz w:val="20"/>
        </w:rPr>
        <w:t>28% of all events, 35% of Category 3 through 5 events, and representing 28% of Slide’s total insured value taking into account assumed Citizens policies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West Central Florida (Pinellas and Hillsborough counties): </w:t>
      </w:r>
      <w:r>
        <w:rPr>
          <w:rFonts w:ascii="Times New Roman" w:hAnsi="Times New Roman"/>
          <w:color w:val="000000"/>
          <w:sz w:val="20"/>
        </w:rPr>
        <w:t>1% of all events, 1% of Category 3 through 5 events, and representing 11% of Slide’s total insured value taking into account assumed Citizens policies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Central Florida (Polk and Orange counties): </w:t>
      </w:r>
      <w:r>
        <w:rPr>
          <w:rFonts w:ascii="Times New Roman" w:hAnsi="Times New Roman"/>
          <w:color w:val="000000"/>
          <w:sz w:val="20"/>
        </w:rPr>
        <w:t>Given that these are inland counties, there are no direct landfalling events and this region represents 10% of Slide’s total insured value taking into account assumed Citizens policies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Southwest Florida (Collier, Sarasota, and Lee counties): </w:t>
      </w:r>
      <w:r>
        <w:rPr>
          <w:rFonts w:ascii="Times New Roman" w:hAnsi="Times New Roman"/>
          <w:color w:val="000000"/>
          <w:sz w:val="20"/>
        </w:rPr>
        <w:t>11% of all events, 12% of Category 3 through 5 events, and representing 17% of Slide’s total insured value taking into account assumed Citizens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illustrate the geographic distribution by county of the number of policies in force, total insured value, average total insured value, average premium per policy and percentage of total insured value (as calculated by dividing (x) the total insured value for a given county by (y) the total insured value with respect to the aggregate policies in force) with respect to (i) the Citizens policies eventually assumed by Slide during the course of 2025 as of December 31, 2024 (ii) such information with respect to Slide as of December 31, 2024 and (iii) such information on a combined basis as of December 31, 2024 for illustrative purposes.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1193"/>
        <w:gridCol w:w="146"/>
        <w:gridCol w:w="481"/>
        <w:gridCol w:w="146"/>
        <w:gridCol w:w="146"/>
        <w:gridCol w:w="781"/>
        <w:gridCol w:w="146"/>
        <w:gridCol w:w="146"/>
        <w:gridCol w:w="146"/>
        <w:gridCol w:w="781"/>
        <w:gridCol w:w="146"/>
        <w:gridCol w:w="146"/>
        <w:gridCol w:w="146"/>
        <w:gridCol w:w="1396"/>
        <w:gridCol w:w="146"/>
        <w:gridCol w:w="146"/>
        <w:gridCol w:w="146"/>
        <w:gridCol w:w="781"/>
        <w:gridCol w:w="146"/>
        <w:gridCol w:w="146"/>
        <w:gridCol w:w="155"/>
        <w:gridCol w:w="611"/>
        <w:gridCol w:w="146"/>
        <w:gridCol w:w="146"/>
        <w:gridCol w:w="146"/>
        <w:gridCol w:w="466"/>
        <w:gridCol w:w="346"/>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Citizens Policies Assumed by Slide during</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Miami-Dade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10,361,822,983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Pinellas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9,813,168,810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7,550,266,424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Palm Beach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5,702,458,247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Hillsborough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4,993,034,126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Brevard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4,668,320,107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3,423,871,133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2,580,121,900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2,263,187,430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Sarasota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2,082,990,526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(57 Counties)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20,974,679,649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303" w:type="dxa"/>
        <w:jc w:val="left"/>
        <w:tblInd w:w="0" w:type="dxa"/>
        <w:tblLayout w:type="fixed"/>
        <w:tblCellMar>
          <w:top w:w="28" w:type="dxa"/>
          <w:left w:w="28" w:type="dxa"/>
          <w:bottom w:w="28" w:type="dxa"/>
          <w:right w:w="28" w:type="dxa"/>
        </w:tblCellMar>
      </w:tblPr>
      <w:tblGrid>
        <w:gridCol w:w="586"/>
        <w:gridCol w:w="146"/>
        <w:gridCol w:w="1186"/>
        <w:gridCol w:w="146"/>
        <w:gridCol w:w="481"/>
        <w:gridCol w:w="146"/>
        <w:gridCol w:w="146"/>
        <w:gridCol w:w="781"/>
        <w:gridCol w:w="146"/>
        <w:gridCol w:w="146"/>
        <w:gridCol w:w="146"/>
        <w:gridCol w:w="781"/>
        <w:gridCol w:w="146"/>
        <w:gridCol w:w="146"/>
        <w:gridCol w:w="146"/>
        <w:gridCol w:w="1501"/>
        <w:gridCol w:w="146"/>
        <w:gridCol w:w="146"/>
        <w:gridCol w:w="146"/>
        <w:gridCol w:w="781"/>
        <w:gridCol w:w="146"/>
        <w:gridCol w:w="146"/>
        <w:gridCol w:w="155"/>
        <w:gridCol w:w="611"/>
        <w:gridCol w:w="146"/>
        <w:gridCol w:w="146"/>
        <w:gridCol w:w="146"/>
        <w:gridCol w:w="466"/>
        <w:gridCol w:w="346"/>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4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Slide Policies in Force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17,153,947,192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Palm Beach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15,569,515,517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15,284,578,352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12,984,573,962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Hillsborough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12,538,357,262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Miami-Dade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10,470,811,175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Collier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8,649,442,360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7,927,053,059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Sarasota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6,784,111,721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6,468,308,279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FL (57 Counties)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62,578,471,246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SC (36 Counties)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1,543,626,007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343,056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303" w:type="dxa"/>
        <w:jc w:val="left"/>
        <w:tblInd w:w="0" w:type="dxa"/>
        <w:tblLayout w:type="fixed"/>
        <w:tblCellMar>
          <w:top w:w="28" w:type="dxa"/>
          <w:left w:w="28" w:type="dxa"/>
          <w:bottom w:w="28" w:type="dxa"/>
          <w:right w:w="28" w:type="dxa"/>
        </w:tblCellMar>
      </w:tblPr>
      <w:tblGrid>
        <w:gridCol w:w="586"/>
        <w:gridCol w:w="146"/>
        <w:gridCol w:w="1186"/>
        <w:gridCol w:w="146"/>
        <w:gridCol w:w="481"/>
        <w:gridCol w:w="146"/>
        <w:gridCol w:w="146"/>
        <w:gridCol w:w="781"/>
        <w:gridCol w:w="146"/>
        <w:gridCol w:w="146"/>
        <w:gridCol w:w="146"/>
        <w:gridCol w:w="781"/>
        <w:gridCol w:w="146"/>
        <w:gridCol w:w="146"/>
        <w:gridCol w:w="146"/>
        <w:gridCol w:w="1501"/>
        <w:gridCol w:w="146"/>
        <w:gridCol w:w="146"/>
        <w:gridCol w:w="146"/>
        <w:gridCol w:w="781"/>
        <w:gridCol w:w="146"/>
        <w:gridCol w:w="146"/>
        <w:gridCol w:w="155"/>
        <w:gridCol w:w="611"/>
        <w:gridCol w:w="146"/>
        <w:gridCol w:w="146"/>
        <w:gridCol w:w="146"/>
        <w:gridCol w:w="466"/>
        <w:gridCol w:w="346"/>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Combined Citizens Policies</w:t>
              <w:br/>
              <w:t>Assumed during 2025</w:t>
              <w:br/>
              <w:t>and Slide Policies in Force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3"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TIV per</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24,704,213,616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Palm Beach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21,271,973,764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Miami-Dade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20,832,634,158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17,864,700,252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Hillsborough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17,531,391,388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16,408,445,095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Pinellas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16,235,099,574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Collier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9,689,997,159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9,204,199,385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Brevard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9,064,390,396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FL (57 Counties)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88,016,046,673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SC (36 Counties)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1,543,626,007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Distance to Coast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evaluates the distance to the coast in determining which Citizens policies to assume because policies further from the coast are less susceptible to hurricane losses, and have lower reinsurance costs. The Company utilizes AIR as its primary risk-based catastrophe model. When using AIR modeling, policies generally have higher reinsurance costs if they are closer to the coast. Small differences in distance —even as low as a third of a mile — to the coast often produce large differences in reinsurance costs, which is especially acute in properties closest to the coast.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utilizes the distance to coast to determine differences in reinsurance costs for policies assumed from Citizens as compared with the Company’s portfolio, as well as the combined impact of distance to coast of both portfolios. The following tables illustrate the distance to the coast by total insured value, average total insured value and percentage of total insured value (as calculated by dividing (x) the total insured value for a given distance to coast by (y) the total insured value) with respect to (i) the Citizens policies eventually assumed by Slide during the course of 2025 as of December 31, 2024, (ii) Slide’s policies in force as of December 31, 2024 and (iii) such information on a combined basis as of December 31, 2024 for illustrative purposes.</w:t>
      </w:r>
    </w:p>
    <w:p>
      <w:pPr>
        <w:pStyle w:val="TextBody"/>
        <w:bidi w:val="0"/>
        <w:jc w:val="left"/>
        <w:rPr/>
      </w:pPr>
      <w:r>
        <w:rPr/>
        <w:t> </w:t>
      </w:r>
    </w:p>
    <w:tbl>
      <w:tblPr>
        <w:tblW w:w="14325" w:type="dxa"/>
        <w:jc w:val="left"/>
        <w:tblInd w:w="0" w:type="dxa"/>
        <w:tblLayout w:type="fixed"/>
        <w:tblCellMar>
          <w:top w:w="28" w:type="dxa"/>
          <w:left w:w="28" w:type="dxa"/>
          <w:bottom w:w="28" w:type="dxa"/>
          <w:right w:w="28" w:type="dxa"/>
        </w:tblCellMar>
      </w:tblPr>
      <w:tblGrid>
        <w:gridCol w:w="571"/>
        <w:gridCol w:w="146"/>
        <w:gridCol w:w="146"/>
        <w:gridCol w:w="586"/>
        <w:gridCol w:w="146"/>
        <w:gridCol w:w="146"/>
        <w:gridCol w:w="181"/>
        <w:gridCol w:w="1021"/>
        <w:gridCol w:w="146"/>
        <w:gridCol w:w="146"/>
        <w:gridCol w:w="181"/>
        <w:gridCol w:w="586"/>
        <w:gridCol w:w="146"/>
        <w:gridCol w:w="146"/>
        <w:gridCol w:w="146"/>
        <w:gridCol w:w="361"/>
        <w:gridCol w:w="241"/>
        <w:gridCol w:w="146"/>
        <w:gridCol w:w="146"/>
        <w:gridCol w:w="586"/>
        <w:gridCol w:w="146"/>
        <w:gridCol w:w="146"/>
        <w:gridCol w:w="146"/>
        <w:gridCol w:w="181"/>
        <w:gridCol w:w="1096"/>
        <w:gridCol w:w="146"/>
        <w:gridCol w:w="146"/>
        <w:gridCol w:w="181"/>
        <w:gridCol w:w="586"/>
        <w:gridCol w:w="146"/>
        <w:gridCol w:w="146"/>
        <w:gridCol w:w="146"/>
        <w:gridCol w:w="361"/>
        <w:gridCol w:w="241"/>
        <w:gridCol w:w="146"/>
        <w:gridCol w:w="146"/>
        <w:gridCol w:w="586"/>
        <w:gridCol w:w="146"/>
        <w:gridCol w:w="146"/>
        <w:gridCol w:w="181"/>
        <w:gridCol w:w="1096"/>
        <w:gridCol w:w="146"/>
        <w:gridCol w:w="146"/>
        <w:gridCol w:w="181"/>
        <w:gridCol w:w="586"/>
        <w:gridCol w:w="146"/>
        <w:gridCol w:w="146"/>
        <w:gridCol w:w="146"/>
        <w:gridCol w:w="361"/>
        <w:gridCol w:w="286"/>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2" w:type="dxa"/>
            <w:gridSpan w:val="4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As of December 31, 2024</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Citizens Policies Assumed by Slide during</w:t>
              <w:b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Slide Policies in Force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Combined Citizens Policies Assumed</w:t>
              <w:br/>
              <w:t>during 2025 and Slide Policies in Force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Distance to</w:t>
              <w:br/>
              <w:t>Coast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Average</w:t>
              <w:b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of</w:t>
              <w:br/>
              <w:t>Total</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Average</w:t>
              <w:b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of</w:t>
              <w:br/>
              <w:t>Total</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Average</w:t>
              <w:b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of</w:t>
              <w:br/>
              <w:t>Total</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0-0.1 Miles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725,838,033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569,934,648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1,295,772,681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0.1-0.4 Miles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2,386,645,811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1,229,791,479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3,616,437,290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0.4-0.8 Miles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1,761,382,351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1,279,909,120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3,041,291,471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0.8-1.5 Miles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2,828,062,242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1,540,543,330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4,368,605,572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1.5-2.5 Miles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4,869,813,872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2,883,635,249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7,753,449,121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2.5-3.5 Miles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5,429,661,487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5,541,764,125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458,717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10,971,425,612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3.5-4.5 Miles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5,176,286,238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7,694,464,457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12,870,750,695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4.5-7.5 Miles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12,258,415,077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26,610,160,802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38,868,575,879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7.5+ Miles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26,943,171,502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81,779,450,313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108,722,621,815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12,034,644,722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97,936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48,823,142,609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60,857,787,331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194,009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74,413,921,335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383,559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346,590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177,952,796,132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513,439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540,599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252,366,717,467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Primary and Secondary Risk Characteristics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various construction characteristics when evaluating Citizens’ policies, which are important factors in mitigating loss from a hurricane event. Each of the characteristics below are important data inputs into the catastrophe modeling platform used by the Company to evaluate risk and determine reinsurance coverage and pricing. These factors are important because better construction standards perform better in catastrophe events and have lower reinsurance costs.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utilizes this information to compare the overall risk profile of the Company’s policies to Citizens’ policies, and the change in risk profile when combined together.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the Company generally evaluates the following risk characteristics when determining the Citizens policies it proposes to assume in a given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Primary Risk Characteristics: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Construction</w:t>
      </w:r>
      <w:r>
        <w:rPr>
          <w:rFonts w:ascii="Times New Roman" w:hAnsi="Times New Roman"/>
          <w:color w:val="000000"/>
          <w:sz w:val="20"/>
        </w:rPr>
        <w:t>. Construction is important as it’s the elemental feature of the structure being insured. In Florida, based on management’s experience, masonry (i.e., bricks), wood frames, and reinforced concrete structures are the primary types of structures that are used in residences. Masonry is the most common building matter and is more structurally sound than wood frames. However, reinforced concrete structures are built to handle hurricanes better than both wood frame and masonry.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Occupancy</w:t>
      </w:r>
      <w:r>
        <w:rPr>
          <w:rFonts w:ascii="Times New Roman" w:hAnsi="Times New Roman"/>
          <w:color w:val="000000"/>
          <w:sz w:val="20"/>
        </w:rPr>
        <w:t>. Understanding if the building is a single family, multi-family, condominium, or other occupancy is important to understand its vulnerability to hurricanes. In the Company’s catastrophe models, in general a single family performs better than multi-family and condominium.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Stories</w:t>
      </w:r>
      <w:r>
        <w:rPr>
          <w:rFonts w:ascii="Times New Roman" w:hAnsi="Times New Roman"/>
          <w:color w:val="000000"/>
          <w:sz w:val="20"/>
        </w:rPr>
        <w:t>. The Company views the number of stories of a dwelling as a critical component when underwriting commercial residential or personal residential policies. If a structure is over seven stories, then the Company can make a reasonable assessment that its construction is superior and has a concrete roof deck, which is likely to perform better in a hurricane than a non-concrete roof deck. Concrete has great compressive strength and low tensile strength, therefore concrete suspended as a roof deck will always have to be reinforced for it to exist and function as intended based on the building code in effect.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Year Built</w:t>
      </w:r>
      <w:r>
        <w:rPr>
          <w:rFonts w:ascii="Times New Roman" w:hAnsi="Times New Roman"/>
          <w:color w:val="000000"/>
          <w:sz w:val="20"/>
        </w:rPr>
        <w:t>. The year in which a dwelling was built is critical for the Company’s analysis of which policies it assumes, because it is the basis for understanding what building codes the structure was built in accordance with. There have been many updates over the years to the Florida Building Code (the “FBC”) which governs construction standards in Florida. Two important updates were in 1994 when building codes in Miami-Dade and Broward counties became more stringent following Hurricane Andrew and in 2002 when the rest of the state of Florida adopted similar codes following the 1994 updates to the FBC with respect to Miami-Dade and Broward counties. Older properties with less stringent building codes are likely to not perform as well as newer properties that have more stringent building codes.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Square Footage</w:t>
      </w:r>
      <w:r>
        <w:rPr>
          <w:rFonts w:ascii="Times New Roman" w:hAnsi="Times New Roman"/>
          <w:color w:val="000000"/>
          <w:sz w:val="20"/>
        </w:rPr>
        <w:t>. Square footage is an important metric for the Company to consider in determining which Citizens policies to assume, as different size homes have different vulnerabilities; larger homes tend to be built better and perform better in wind events. In addition, square footage relative to Coverage A helps the Company determine if the coverage amounts are in line with replacement costs when reviewing prospective Citizens policies that may be assumed by the Company. For example, for a 5,000 square foot home with Coverage A in the amount of $250,000, the Coverage A per square foot is $50 – well below what it would cost to rebuild the property and therefore underinsured.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Secondary Risk Characteristics: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Year Roof Built</w:t>
      </w:r>
      <w:r>
        <w:rPr>
          <w:rFonts w:ascii="Times New Roman" w:hAnsi="Times New Roman"/>
          <w:color w:val="000000"/>
          <w:sz w:val="20"/>
        </w:rPr>
        <w:t>. The year in which a roof is built is an important characteristic the Company evaluates in determining which policies to assume from Citizens. Newer roofs generally perform better in hurricanes and severe thunderstorms, thereby limiting downside risk to the Company over the course of a given insurance contract.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Roof Shape</w:t>
      </w:r>
      <w:r>
        <w:rPr>
          <w:rFonts w:ascii="Times New Roman" w:hAnsi="Times New Roman"/>
          <w:color w:val="000000"/>
          <w:sz w:val="20"/>
        </w:rPr>
        <w:t>. The Company views roof shape as an important secondary characteristic as hip roofs perform better in hurricanes than gable roofs because they are engineered to have lower damageability during wind events.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Roof Deck Attachments</w:t>
      </w:r>
      <w:r>
        <w:rPr>
          <w:rFonts w:ascii="Times New Roman" w:hAnsi="Times New Roman"/>
          <w:color w:val="000000"/>
          <w:sz w:val="20"/>
        </w:rPr>
        <w:t>. Roof deck attachments are an important metric for the Company because it indicates how the roof deck is attached to the roof rafters. There are numerous different roof deck attachment types based on the building code in place when a home is constructed. In addition, the size and strength of the nail that is holding the roof deck to the rafters and how far the nails are spaced apart are relevant metrics. The better the strength and closer nails are spaced, the better the roof performs in a hurricane (i.e., it is less likely to be damaged, resulting in a claim). On the other hand, weaker nails and further spacing between nails generally indicates that the roof is more likely to be damaged in a hurricane.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Window Protection</w:t>
      </w:r>
      <w:r>
        <w:rPr>
          <w:rFonts w:ascii="Times New Roman" w:hAnsi="Times New Roman"/>
          <w:color w:val="000000"/>
          <w:sz w:val="20"/>
        </w:rPr>
        <w:t>. Window protection is an important risk characteristic because it will help to protect a home from getting wind and water intrusion into the structure’s envelope. Homes with hurricane impact glass, for example, will prevent damage better than homes with ordinary glass windows.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Secondary Water Resistance</w:t>
      </w:r>
      <w:r>
        <w:rPr>
          <w:rFonts w:ascii="Times New Roman" w:hAnsi="Times New Roman"/>
          <w:color w:val="000000"/>
          <w:sz w:val="20"/>
        </w:rPr>
        <w:t>. Secondary water resistance is an underlayment below the roof covering designed to stop water penetration if the outer layer of the roof is damaged. This is an important risk characteristic in determining which policies to assume because roofs with secondary water resistance are engineered to reduce water penetration that can damage the structure.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Roof Deck</w:t>
      </w:r>
      <w:r>
        <w:rPr>
          <w:rFonts w:ascii="Times New Roman" w:hAnsi="Times New Roman"/>
          <w:color w:val="000000"/>
          <w:sz w:val="20"/>
        </w:rPr>
        <w:t>. Roof deck is a key feature in the construction of flat roofs. If a roof shape is flat and not constructed with reinforced concrete slabs, it will not perform as well as ones with reinforced concrete slabs.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illustrate the primary and secondary risk characteristics with respect to the total insured value, average total insured value, and percentage of total insured value (as calculated by dividing (x) the total insured value for a given characteristic by (y) the total insured value) with respect to (i) the Citizens policies assumed by Slide during the course of 2025 as of December 31, 2024, (ii) such information with respect to Slide as of December 31, 2024 and (iii) such information on a combined basis as of December 31, 2024 for illustrative purposes. As can be seen below, the Citizens assumed policies demonstrate primary and secondary characteristics substantially similar to the Company’s historical portfolio of policies.</w:t>
      </w:r>
    </w:p>
    <w:p>
      <w:pPr>
        <w:pStyle w:val="TextBody"/>
        <w:bidi w:val="0"/>
        <w:jc w:val="left"/>
        <w:rPr/>
      </w:pPr>
      <w:r>
        <w:rPr/>
        <w:t> </w:t>
      </w:r>
    </w:p>
    <w:tbl>
      <w:tblPr>
        <w:tblW w:w="9172" w:type="dxa"/>
        <w:jc w:val="left"/>
        <w:tblInd w:w="0" w:type="dxa"/>
        <w:tblLayout w:type="fixed"/>
        <w:tblCellMar>
          <w:top w:w="28" w:type="dxa"/>
          <w:left w:w="28" w:type="dxa"/>
          <w:bottom w:w="28" w:type="dxa"/>
          <w:right w:w="28" w:type="dxa"/>
        </w:tblCellMar>
      </w:tblPr>
      <w:tblGrid>
        <w:gridCol w:w="3016"/>
        <w:gridCol w:w="146"/>
        <w:gridCol w:w="148"/>
        <w:gridCol w:w="798"/>
        <w:gridCol w:w="146"/>
        <w:gridCol w:w="146"/>
        <w:gridCol w:w="211"/>
        <w:gridCol w:w="1396"/>
        <w:gridCol w:w="146"/>
        <w:gridCol w:w="146"/>
        <w:gridCol w:w="224"/>
        <w:gridCol w:w="991"/>
        <w:gridCol w:w="146"/>
        <w:gridCol w:w="146"/>
        <w:gridCol w:w="262"/>
        <w:gridCol w:w="758"/>
        <w:gridCol w:w="34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Primary Risk Characteristics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Citizens Policies Assumed by Slide during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988,171,380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Wood Frame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14,647,383,106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Masonry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57,342,192,034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Reinforced Concrete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1,436,174,815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Occupancy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Dwelling: Single Family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67,298,309,579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Dwelling: Multi Family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410,103,185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Apartments / Condominiums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6,705,508,571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56,055,715,233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story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13,424,811,347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story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1,260,663,198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to 7 stories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1,913,884,811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 or more stories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1,725,741,146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Built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 1995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55,759,401,354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1995—2001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5,339,513,287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2002—2008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9,685,083,766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2009 or newer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3,629,922,928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Square Footage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130,687,500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&lt; 1507 sq feet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27,853,767,405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1507-2507 sq feet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34,457,788,189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2508-5005 sq feet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7,607,455,581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5006-10010 sq feet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595,209,460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10010 or more sq feet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3,769,013,200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258" w:type="dxa"/>
        <w:jc w:val="left"/>
        <w:tblInd w:w="0" w:type="dxa"/>
        <w:tblLayout w:type="fixed"/>
        <w:tblCellMar>
          <w:top w:w="28" w:type="dxa"/>
          <w:left w:w="28" w:type="dxa"/>
          <w:bottom w:w="28" w:type="dxa"/>
          <w:right w:w="28" w:type="dxa"/>
        </w:tblCellMar>
      </w:tblPr>
      <w:tblGrid>
        <w:gridCol w:w="3016"/>
        <w:gridCol w:w="146"/>
        <w:gridCol w:w="146"/>
        <w:gridCol w:w="781"/>
        <w:gridCol w:w="146"/>
        <w:gridCol w:w="146"/>
        <w:gridCol w:w="211"/>
        <w:gridCol w:w="1501"/>
        <w:gridCol w:w="146"/>
        <w:gridCol w:w="146"/>
        <w:gridCol w:w="224"/>
        <w:gridCol w:w="991"/>
        <w:gridCol w:w="146"/>
        <w:gridCol w:w="146"/>
        <w:gridCol w:w="262"/>
        <w:gridCol w:w="758"/>
        <w:gridCol w:w="34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Primary Risk Characteristics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Slide Policies in Force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83,316,776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Wood Frame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37,565,300,427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Masonry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137,687,756,161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Reinforced Concrete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2,616,422,768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Occupancy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Dwelling: Single Family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167,253,146,785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Dwelling: Multi Family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797,771,314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Apartments / Condominiums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9,901,878,033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353,679,534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135,544,443,280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story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35,621,395,115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story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2,035,722,491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to 7 stories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2,176,724,279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 or more stories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2,220,831,433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Built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 1995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91,474,154,293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1995—2001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27,850,145,939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2002—2008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42,530,263,246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2009 or newer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16,098,232,654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Square Footage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127,120,230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&lt; 1507 sq feet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35,695,345,001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1507-2507 sq feet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90,122,706,275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2508-5005 sq feet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42,761,956,866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5006-10010 sq feet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4,574,372,022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1,840,794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10010 or more sq feet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4,671,295,738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4,108,440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258" w:type="dxa"/>
        <w:jc w:val="left"/>
        <w:tblInd w:w="0" w:type="dxa"/>
        <w:tblLayout w:type="fixed"/>
        <w:tblCellMar>
          <w:top w:w="28" w:type="dxa"/>
          <w:left w:w="28" w:type="dxa"/>
          <w:bottom w:w="28" w:type="dxa"/>
          <w:right w:w="28" w:type="dxa"/>
        </w:tblCellMar>
      </w:tblPr>
      <w:tblGrid>
        <w:gridCol w:w="3016"/>
        <w:gridCol w:w="146"/>
        <w:gridCol w:w="146"/>
        <w:gridCol w:w="781"/>
        <w:gridCol w:w="146"/>
        <w:gridCol w:w="146"/>
        <w:gridCol w:w="211"/>
        <w:gridCol w:w="1501"/>
        <w:gridCol w:w="146"/>
        <w:gridCol w:w="146"/>
        <w:gridCol w:w="224"/>
        <w:gridCol w:w="991"/>
        <w:gridCol w:w="146"/>
        <w:gridCol w:w="146"/>
        <w:gridCol w:w="262"/>
        <w:gridCol w:w="758"/>
        <w:gridCol w:w="34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Primary Risk Characteristics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 Citizens Policies Assumed during 2025 and</w:t>
              <w:br/>
              <w:t>Slide Policies in Force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1,071,488,156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Wood Frame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52,212,683,533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Masonry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195,029,948,195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Reinforced Concrete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4,052,597,583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Occupancy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Dwelling: Single Family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234,551,456,364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Dwelling: Multi Family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1,207,874,499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Apartments / Condominiums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16,607,386,604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386,785,134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191,600,158,513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story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49,046,206,462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story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3,296,385,689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to 7 stories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4,090,609,090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 or more stories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3,946,572,579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Built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 1995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147,233,555,647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1995—2001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33,189,659,226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2002—2008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52,215,347,012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2009 or newer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19,728,155,582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Square Footage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257,807,730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&lt; 1507 sq feet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63,549,112,406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1507-2507 sq feet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124,580,494,464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2508-5005 sq feet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50,369,412,447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5006-10010 sq feet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5,169,581,482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10010 or more sq feet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8,440,308,938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108" w:type="dxa"/>
        <w:jc w:val="left"/>
        <w:tblInd w:w="0" w:type="dxa"/>
        <w:tblLayout w:type="fixed"/>
        <w:tblCellMar>
          <w:top w:w="28" w:type="dxa"/>
          <w:left w:w="28" w:type="dxa"/>
          <w:bottom w:w="28" w:type="dxa"/>
          <w:right w:w="28" w:type="dxa"/>
        </w:tblCellMar>
      </w:tblPr>
      <w:tblGrid>
        <w:gridCol w:w="2971"/>
        <w:gridCol w:w="146"/>
        <w:gridCol w:w="146"/>
        <w:gridCol w:w="781"/>
        <w:gridCol w:w="146"/>
        <w:gridCol w:w="146"/>
        <w:gridCol w:w="211"/>
        <w:gridCol w:w="1396"/>
        <w:gridCol w:w="146"/>
        <w:gridCol w:w="146"/>
        <w:gridCol w:w="224"/>
        <w:gridCol w:w="991"/>
        <w:gridCol w:w="146"/>
        <w:gridCol w:w="146"/>
        <w:gridCol w:w="262"/>
        <w:gridCol w:w="758"/>
        <w:gridCol w:w="34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Secondary Risk Characteristics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Citizens Policies Assumed by Slide during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Roof Year Built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16,622,234,306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to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23,064,513,264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 to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13,457,009,849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 to 20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15,189,533,877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 to 25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4,175,756,156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 years or older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1,904,873,883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Roof Shape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6,195,396,943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48,323,618,044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Gable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4,473,151,893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15,421,754,455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Roof Shape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6,970,840,843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6d Nails @ 6 Spacing 12 on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4,165,239,802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8d Nails @ 6 Spacing 12 on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1,216,591,404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8d Nails @ 6 Spacing 6 on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62,061,249,286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Window Protection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44,848,424,427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Protection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805,549,600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Non-Engineered Shutters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7,806,688,486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Shutters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20,953,258,822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Secondary Water Resistance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30,350,976,383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Secondary Water Resistance—Yes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19,317,098,168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Secondary Water Resistance—No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24,745,846,784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Roof Deck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71,077,646,501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Plywood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Reinforced Concrete Slabs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3,336,274,834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74,413,921,335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213" w:type="dxa"/>
        <w:jc w:val="left"/>
        <w:tblInd w:w="0" w:type="dxa"/>
        <w:tblLayout w:type="fixed"/>
        <w:tblCellMar>
          <w:top w:w="28" w:type="dxa"/>
          <w:left w:w="28" w:type="dxa"/>
          <w:bottom w:w="28" w:type="dxa"/>
          <w:right w:w="28" w:type="dxa"/>
        </w:tblCellMar>
      </w:tblPr>
      <w:tblGrid>
        <w:gridCol w:w="2971"/>
        <w:gridCol w:w="146"/>
        <w:gridCol w:w="146"/>
        <w:gridCol w:w="781"/>
        <w:gridCol w:w="146"/>
        <w:gridCol w:w="146"/>
        <w:gridCol w:w="211"/>
        <w:gridCol w:w="1501"/>
        <w:gridCol w:w="146"/>
        <w:gridCol w:w="146"/>
        <w:gridCol w:w="224"/>
        <w:gridCol w:w="991"/>
        <w:gridCol w:w="146"/>
        <w:gridCol w:w="146"/>
        <w:gridCol w:w="262"/>
        <w:gridCol w:w="758"/>
        <w:gridCol w:w="34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Secondary Risk Characteristics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Slide Policies in Force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Roof Year Built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11,076,823,685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to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55,072,860,695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 to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46,066,201,627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 to 20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44,049,848,674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 to 25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15,548,687,488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 years or older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6,138,373,963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Roof Shape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7,901,167,239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88,745,470,853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Gable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5,094,802,605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76,211,355,435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Roof Shape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49,539,818,576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6d Nails @ 6 Spacing 12 on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17,790,537,759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8d Nails @ 6 Spacing 12 on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2,087,856,880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8d Nails @ 6 Spacing 6 on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108,534,582,917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Window Protection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109,261,406,196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Protection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3,931,508,700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Non-Engineered Shutters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8,509,723,892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Shutters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56,250,157,344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Secondary Water Resistance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109,608,060,956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Secondary Water Resistance—Yes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54,296,554,859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Secondary Water Resistance—No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14,048,180,317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Roof Deck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173,764,375,592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Plywood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271,689,498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Reinforced Concrete Slabs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3,916,731,042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177,952,796,132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232" w:type="dxa"/>
        <w:jc w:val="left"/>
        <w:tblInd w:w="0" w:type="dxa"/>
        <w:tblLayout w:type="fixed"/>
        <w:tblCellMar>
          <w:top w:w="28" w:type="dxa"/>
          <w:left w:w="28" w:type="dxa"/>
          <w:bottom w:w="28" w:type="dxa"/>
          <w:right w:w="28" w:type="dxa"/>
        </w:tblCellMar>
      </w:tblPr>
      <w:tblGrid>
        <w:gridCol w:w="2971"/>
        <w:gridCol w:w="146"/>
        <w:gridCol w:w="148"/>
        <w:gridCol w:w="798"/>
        <w:gridCol w:w="146"/>
        <w:gridCol w:w="146"/>
        <w:gridCol w:w="211"/>
        <w:gridCol w:w="1501"/>
        <w:gridCol w:w="146"/>
        <w:gridCol w:w="146"/>
        <w:gridCol w:w="224"/>
        <w:gridCol w:w="991"/>
        <w:gridCol w:w="146"/>
        <w:gridCol w:w="146"/>
        <w:gridCol w:w="262"/>
        <w:gridCol w:w="758"/>
        <w:gridCol w:w="34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Secondary Risk Characteristics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 Citizens Policies Assumed during 2025 and</w:t>
              <w:br/>
              <w:t>Slide Policies in Force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Roof Year Built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27,699,057,991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to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78,137,373,959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 to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59,523,211,476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 to 20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59,239,382,551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 to 25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19,724,443,644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 years or older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8,043,247,846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Roof Shape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14,096,564,182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137,069,088,897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Gable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9,567,954,498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91,633,109,890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Roof Deck Attachments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56,510,659,419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6d Nails @ 6 Spacing 12 on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21,955,777,561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8d Nails @ 6 Spacing 12 on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3,304,448,284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8d Nails @ 6 Spacing 6 on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170,595,832,203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Window Protection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154,109,830,623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Protection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4,737,058,300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Non-Engineered Shutters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16,316,412,378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Shutters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77,203,416,166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Secondary Water Resistance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139,959,037,339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Secondary Water Resistance—Yes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73,613,653,027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Secondary Water Resistance—No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38,794,027,101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Roof Deck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TIV</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Unknown/Default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244,842,022,093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Plywood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271,689,498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Reinforced Concrete Slabs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7,253,005,876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252,366,717,467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Non-Hurricane Prior Loss History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evaluates non-hurricane prior loss history in connection with the policies it assumes from Citizens. Slide does not assume policies from Citizens that have more than two non-hurricane losses because it believes that they will not perform well in the future. As illustrated by the table below, the total number of non-hurricane claims on Citizens policies assumed by the Company in 2025 is not material, as the Company assumed 194,009 policies from Citizens during the year. In other words, less than 2% of the Citizens policies assumed by the Company had any reported non-hurricane losses. The tables below summarizes the number of claims to Citizens by year of loss, prior to assumption by the Company in 2025 with respect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personal residential and commercial residential policies assumed by the Company as well as the causes of such claims for the periods presented.</w:t>
      </w:r>
    </w:p>
    <w:p>
      <w:pPr>
        <w:pStyle w:val="TextBody"/>
        <w:bidi w:val="0"/>
        <w:jc w:val="left"/>
        <w:rPr/>
      </w:pPr>
      <w:r>
        <w:rPr/>
        <w:t> </w:t>
      </w:r>
    </w:p>
    <w:tbl>
      <w:tblPr>
        <w:tblW w:w="9164" w:type="dxa"/>
        <w:jc w:val="left"/>
        <w:tblInd w:w="0" w:type="dxa"/>
        <w:tblLayout w:type="fixed"/>
        <w:tblCellMar>
          <w:top w:w="28" w:type="dxa"/>
          <w:left w:w="28" w:type="dxa"/>
          <w:bottom w:w="28" w:type="dxa"/>
          <w:right w:w="28" w:type="dxa"/>
        </w:tblCellMar>
      </w:tblPr>
      <w:tblGrid>
        <w:gridCol w:w="3211"/>
        <w:gridCol w:w="146"/>
        <w:gridCol w:w="146"/>
        <w:gridCol w:w="571"/>
        <w:gridCol w:w="146"/>
        <w:gridCol w:w="146"/>
        <w:gridCol w:w="146"/>
        <w:gridCol w:w="676"/>
        <w:gridCol w:w="146"/>
        <w:gridCol w:w="146"/>
        <w:gridCol w:w="146"/>
        <w:gridCol w:w="571"/>
        <w:gridCol w:w="146"/>
        <w:gridCol w:w="146"/>
        <w:gridCol w:w="146"/>
        <w:gridCol w:w="571"/>
        <w:gridCol w:w="146"/>
        <w:gridCol w:w="146"/>
        <w:gridCol w:w="146"/>
        <w:gridCol w:w="571"/>
        <w:gridCol w:w="146"/>
        <w:gridCol w:w="146"/>
        <w:gridCol w:w="190"/>
        <w:gridCol w:w="276"/>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Reported Non-Hurricane Claims Count by</w:t>
              <w:br/>
              <w:t>Date of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Personal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899" w:type="dxa"/>
        <w:jc w:val="left"/>
        <w:tblInd w:w="0" w:type="dxa"/>
        <w:tblLayout w:type="fixed"/>
        <w:tblCellMar>
          <w:top w:w="28" w:type="dxa"/>
          <w:left w:w="28" w:type="dxa"/>
          <w:bottom w:w="28" w:type="dxa"/>
          <w:right w:w="28" w:type="dxa"/>
        </w:tblCellMar>
      </w:tblPr>
      <w:tblGrid>
        <w:gridCol w:w="3886"/>
        <w:gridCol w:w="146"/>
        <w:gridCol w:w="676"/>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Personal Residential Claims Count by Cause of Loss</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 Damage - Non Weather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 Damage - Weather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Physical Damage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835" w:type="dxa"/>
        <w:jc w:val="left"/>
        <w:tblInd w:w="0" w:type="dxa"/>
        <w:tblLayout w:type="fixed"/>
        <w:tblCellMar>
          <w:top w:w="28" w:type="dxa"/>
          <w:left w:w="28" w:type="dxa"/>
          <w:bottom w:w="28" w:type="dxa"/>
          <w:right w:w="28" w:type="dxa"/>
        </w:tblCellMar>
      </w:tblPr>
      <w:tblGrid>
        <w:gridCol w:w="4141"/>
        <w:gridCol w:w="146"/>
        <w:gridCol w:w="146"/>
        <w:gridCol w:w="211"/>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Residential Claims Count by Cause of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Tree Damage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 Damage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Lightning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Hurricane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evaluate hurricane loss history as a relevant factor in determining which policies it assumes from Citizens. Among other reasons, Citizens is not required to have a reinsurance program comparable to that of a private, rated insurance company such as the Company which makes the impact of hurricane losses vastly different as between Citizens and the Company. The Company, to meet requirements of FLOIR and Demotech, purchases a reinsurance program to a minimum of the 130-year return period for the first event, and to a minimum of 50-year return period for the second event. Citizens is not required by FLOIR or any rating agency to purchase any reinsurance to any return period, and only purchased a program for a 100-year return period for the first event in 2025. For its reinsurance program that came into effect on June 1, 2025, SIC purchased $2.5 billion of reinsurance coverage with no retention, whereas, based on estimates by the Company’s management, Citizens’ retention was approximately $5.0 billion. An example of the impact of these differing reinsurance programs can be seen in the comparative impact of Hurricanes Debby, Helene and Milton to Citizens and the Company in the year ended December 31, 2024. Those hurricanes produced a pretax loss of $87.9 million for the Company, whereas based on management’s review of publicly available data, Citizens’ retained loss was approximately $1 billion.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Differences in Citizens’ and Slide’s Policy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mentioned above, Citizens was created by the Florida Legislature in August 2002 as a not-for-profit, tax-exempt, government entity to provide property insurance to eligible Florida property owners unable to find insurance coverage in the private market. By definition, as an insurer of last resort for customers that cannot find coverage in the private market, the rates and coverage of Citizens’ policies are different from what a private insurer such as the Company would offer. Similarly, the rates and coverage are different from the terms the policies assumed by the Company will have when they renew. All of the policies selected by the Company are annual policies which are rewritten at the Company’s rates using the Company’s coverage and forms within a year. Because it is a governmental entity and insurer of last resort in the state of Florida, the coverage offered by Citizens is more constrained than what the Company can offer by operation of Florida law, and therefore the loss experience of Citizens policies is vastly different to what the Company experiences.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insures properties up to $10 million in coverage, whereas the maximum coverage for Citizens policies is $700,000 for “Coverage A” (which, in the P&amp;C insurance industry, refers to coverage of dwellings and physical structures) in the majority of Florida (with the exception of Miami- Dade and Monroe counties, where the maximum is $1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offers personal liability insurance up to $500,000, whereas Citizens can only offer up to $100,000;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offers medical payments coverage up to $5,000, whereas Citizens can only offer up to $2,000;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can offer personal property coverage up to 75% of the fair value of the underlying asset, whereas Citizen can only offer up to 50% of the fair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can offer policies to homeowners in a flood zone and not require flood insurance, whereas Citizens requires flood insurance for any owner-occupied single-family homes and townhouses, as well as non-occupied rental properties located in a high-risk flood zone;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can offer coverage on screen enclosures (both frame and mesh), solar panels, animal liabilities, equipment breakdowns and personal property, whereas Citizens does not offer any coverage for these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coverage affect both the net earned premium and the net loss ratio. As a result of coverage changes and the Company’s different rate schedule, the average premium on Citizens personal residential policies assumed during 2025 that were renewed during 2025 increased by 16%. However, the Company does not have access to Citizens’ loss ratios by peril or coverage type. Accordingly, the Company cannot compare the financial impact of these differences in coverage by Citizens as compared to the Company’s offerings. In addition, Citizens is not required to have a reinsurance program comparable to that of a private, rated insurance company. Given that reinsurance costs in coastal areas commonly range from 30-40% of underwritten gross premiums according to management’s estimates, Citizens’ rates are often lower than in the voluntary marketplace, resulting in lower average premiums in force. For example, Citizens’ average premium for personal residential policies in force was $3,676 as of December 31, 2024, whereas the Company’s average premium for personal residential policies in force as of December 31, 2024 was $3,924, a difference of approximately 6.7%.</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loss and loss adjustment expense (“LAE”) reserves to cover estimated liabilities for all specific claims reported and unreported claims that have been incurred but not yet reported (“IBNR”). The reserves are estimates based on actuarial projections and the expected ultimate cost to settle and administer each claim and our ultimate liability may be greater or less than the current reserves. Our reserves estimates are based upon past loss experience modified for current trends as well as prevailing economic, legal and social conditions and facts and circumstances known at the time and are subject to significant uncertainty. The reserves are maintained net of estimated related salvage and subrogation recoverables and reinsurance recoverables.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 claim is reported, we establish a case reserve for the estimated amount of the expected payment after an appropriate assessment of coverage, damages and any additional investigation needed, including information received from the claims adjuster. Our estimate is based on general insurance reserving practices and on the experience and knowledge of our claim adjusters regarding the nature and value of the specific type of claim. We periodically adjust case reserves based on subsequent developments associated with each claim.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IBNR reserves are established in accordance with industry practice to provide for the estimated amount of future loss and LAE payments on incurred claims that have not yet been reported to us as well as potential development on reported claims. IBNR reserves are estimated based on generally accepted actuarial reserving techniques that consider quantitative loss experience data and additional qualitative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take a conservative approach to loss reserves. We review loss reserves at least on a monthly basis using a variety of forecasting techniques that consider paid and incurred loss and LAE and reported claim counts. We update the reserve estimates as historical loss experience develops, additional claims are reported or settled and new information becomes available.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year ended December 31, 2025, our net incurred losses and LAE for accident years 2023 and </w:t>
      </w:r>
      <w:r>
        <w:rPr>
          <w:rFonts w:ascii="Times New Roman" w:hAnsi="Times New Roman"/>
          <w:color w:val="231F20"/>
          <w:sz w:val="20"/>
        </w:rPr>
        <w:t>2024 developed favorably by $81.8 million. This favorable development was driven by a better than expected claims experience and lower loss adjustment expenses in our Florida residential policies. The following table illustrates, as of December 31, 2025, development of the estimated liability for losses and loss adjustment expenses from March 1, 2022 through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280" w:type="dxa"/>
        <w:jc w:val="left"/>
        <w:tblInd w:w="0" w:type="dxa"/>
        <w:tblLayout w:type="fixed"/>
        <w:tblCellMar>
          <w:top w:w="28" w:type="dxa"/>
          <w:left w:w="28" w:type="dxa"/>
          <w:bottom w:w="28" w:type="dxa"/>
          <w:right w:w="28" w:type="dxa"/>
        </w:tblCellMar>
      </w:tblPr>
      <w:tblGrid>
        <w:gridCol w:w="4801"/>
        <w:gridCol w:w="146"/>
        <w:gridCol w:w="211"/>
        <w:gridCol w:w="931"/>
        <w:gridCol w:w="1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ended</w:t>
              <w:br/>
              <w:t>December 31,</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(Dollars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estimated losses and loss adjustment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Re-estimated losses and loss adjustment expense one year</w:t>
              <w:br/>
              <w:t>   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redundancy (deficiency)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conservative investment portfolio. Our investment policy aims to balance current yield, conservation of capital and the need to meet our liquidity requirements. We hold a well-diversified investment portfolio that is compliant with Florida statutes and emphasizes quality assets and preservation of capital. Our asset allocation strategy focuses on maintaining sufficient readily available funds to pay claims and expenses. We hold 100% of our assets in high quality fixed income assets and cash. Our bond portfolio has a weighted average rating of AA- and duration of 3.52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investment portfolio is managed by a third-party investment management firm, BlackRock. BlackRock is a leading provider of investment, advisory and risk management solutions globally with $11.6 trillion of AUM, as of December 31, 2025. We regularly monitor our investment risk to balance our goals of capital preservation, income generation and the liquidity needs of our Company. Our investment policy and guidelines consider our investment approach, which seeks to build a high-quality portfolio while preserving capital and meeting our liquidity needs. The Investment Committee of SIC reviews and approves our investment policy and strategy. This committee meets on a regular basis to review and consider investment activities, tactics and new investment opportunities as they arise.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securities in our investment portfolio are classified as “available for sale” and are carried at fair value with unrealized gains and losses on these securities reported net of tax as a separate component of accumulated other comprehensive income (loss). Fair value represents quoted market prices traded in the public market. For those securities with unrealized losses, we intend to hold them until maturity or the point of unrealized gain.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held $1,201 million in unrestricted cash and cash equivalents and $589.7 million in fixed income securities. We do not hold any equities, derivative, or alternative investments, other than interest rate swap agreements hedging exposure under our Credit Facility. A summary of our investment portfolio at December 31, 2025 is as follows:</w:t>
      </w:r>
    </w:p>
    <w:p>
      <w:pPr>
        <w:pStyle w:val="TextBody"/>
        <w:bidi w:val="0"/>
        <w:jc w:val="left"/>
        <w:rPr/>
      </w:pPr>
      <w:r>
        <w:rPr/>
        <w:t> </w:t>
      </w:r>
    </w:p>
    <w:tbl>
      <w:tblPr>
        <w:tblW w:w="10039"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39"/>
        <w:gridCol w:w="647"/>
        <w:gridCol w:w="146"/>
        <w:gridCol w:w="146"/>
        <w:gridCol w:w="270"/>
        <w:gridCol w:w="616"/>
        <w:gridCol w:w="166"/>
        <w:gridCol w:w="146"/>
        <w:gridCol w:w="211"/>
        <w:gridCol w:w="781"/>
        <w:gridCol w:w="146"/>
        <w:gridCol w:w="146"/>
        <w:gridCol w:w="146"/>
        <w:gridCol w:w="466"/>
        <w:gridCol w:w="316"/>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Yield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general, the P&amp;C insurance market is highly competitive, and we face competition from national and regional insurers. For example, in Florida, more than 350 companies are authorized to underwrite homeowners insurance. Some of our competitors have greater financial, marketing and management resources and experience than we do. However, we believe we have a significant technological advantage that allows us to assess, manage and price risk for individual and bulk policy acquisitions. Our technology is built to estimate future costs of policies and compare it back to our base rates to better understand profitability in real time on an individual risk basis and to assess large and/or bulk transactions. This technology permits us to only select policies that we believe to be profitable based on future reinsurance and AOP costs. We may also compete with new market entrants in the future. Competition is based on many factors, including the reputation and experience of the insurer, coverages and services offered, pricing and other terms and conditions, speed of claims payment, customer service, relationships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brokers and agents (including ease of doing business, service provided and commission rates paid), size and financial strength ratings, among other considerations.</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Ratings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subsidiaries are eligible to be rated by a third-party rating agency, Demotech, Inc. (“Demotech”). Demotech’s rating process provides an objective baseline for assessing the solvency of an insurer which in turn provides insight into changes in an insurer’s financial stability. Our insurance subsidiaries have received a Demotech Financial Stability Rating of “A” for Exceptional financial stability. The Financial Stability Ratings given by Demotech serve to summarize Demotech’s opinion as to the relative ability of insurers to survive a downturn in general economic conditions as well as a downturn in the underwriting cycle and should not be interpreted as (and are not intended to serve as) an assessment of an insurer’s securities or a recommendation to buy, sell or hold an insurer’s securities. Our insurance subsidiaries do not currently have a rating from AM Best, and we do not currently intend to seek a rating from AM Best. We will continue to rely on our rating from Demotech, which management believes is in line with market practice with our competitors in the specialty homeowners and commercial residential insurance market in which we operate. Among other things, in order to receive a satisfactory rating from AM Best, we would be required to forgo certain revenues and efficiency of size.</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insurance industry is extensively regulated. SIC and SSIC are subject to the laws and regulations of their domiciliary states, Florida and Rhode Island respectively, and each additional state in which they are licensed to transact insurance business, New Hampshire, New Jersey, New York, and South Carolina. SIC and SSIC would also be subject to the laws and regulations of any other state where we may seek to do business in the future.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Florida and Rhode Island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Florida and Rhode Island’s insurance regulatory regime provides for regulation of virtually all aspects of our business. Similar to other states, Florida and Rhode Island, have adopted several model laws and regulations as promulgated by the NAIC. State statutes and administrative rules generally require each insurance company that is part of a holding company system to register with the department of insurance in its state of domicile and to furnish information concerning the operations of the companies within the holding company system which may materially affect the operations, management or financial condition of the insurers within the system. As part of its registration, each insurance company must identify material agreements, relationships and transactions with affiliates, including without limitation loans, investments, asset transfers, transactions outside of the ordinary course of business, certain management, service, and cost sharing agreements, reinsurance transactions, dividends and consolidated tax allocation agreements. Importantly, regulated insurance companies, such as SIC and SSIC, are subject to statutory accounting requirements that are promulgated by the NAIC and adopted by the individual states. As part of such financial regulation, SIC and SSIC are required to file quarterly and audited annual financial statements with the regulator in their state of domicile, FLOIR or RIDBR. In many instances, Florida’s and Rhode Island’s insurance laws and regulations may be even more stringent than those promulgated by the NAIC or other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consent orders setting conditions for FLOIR’s approval of the Citizens assumption transactions in which we have participated. We are required by consent order to comply with the assumption agreements entered into with Citizens at the time of each assumption transaction, which requires that for the assumed policies, we must offer to renew each policy for a minimum of three years provided the policy satisfies our underwriting guidelines. We are in full compliance with all consent orders issued with regard to Citizens’ depopulation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ultimate parent company of SIC and SSIC, we are also subject to certain Florida and Rhode Island insurance laws governing insurance holding company systems. These laws, among other things, (i) require us to file periodic information with the FLOIR and RIDBR, including information concerning our capital structure, ownership, financial condition and general business operations, (ii) regulate certain transactions between SIC or SSIC and any affiliates, including the amount of dividends and other distributions that SIC or SSIC may pay, the terms of surplus notes and amounts that our affiliates can charge SIC and SSIC for services such as policy administration and claims administration and (iii) restrict the ability of any one person to acquire certain levels of our voting securities without prior regulatory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Additional Regulatory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are subject to regulations administered by a department of insurance in each state in which we do business. Currently, SIC only writes insurance on an admitted basis in Florida and South Carolina and does not conduct business in other states and SSIC is not actively writing insurance in any states. These regulations relate to, among other things, policyholder notifications, premium limits relative to surplus, reinsurance requirements, participation in guaranty funds, business and claims practices, approval of policy forms and rates, solvency standards, licensing requirements, investment restrictions, limitations on dividends and affiliate transactions, single-policy risk limits, policyholder deposit requirements, accounting methods, regular examinations of the Company, financial record requirements, and reserve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FLOIR, RIDBR, and regulators in other jurisdictions where we may become licensed and offer insurance products conduct periodic examinations of the affairs of insurance companies and require the filing of annual and other reports relating to financial condition, holding company issues and other matters. In accordance with guidelines promulgated by the NAIC and adopted under applicable state law, insurance companies are generally subject to a financial examination by their domiciliary state insurance department at least once every five years. However, FLOIR and RIDBR also have discretional authority to conduct an examination whenever it is deemed appropriate. These regulatory authorities also conduct periodic examinations into insurers’ business practices. Additionally, as an insurance company operating in Florida, SIC is subject to assessments levied by Citizens, the Florida Insurance Guaranty Association, and the FHCF.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all states require licensure and regulatory approval prior to the marketing of insurance products. Typically, licensure review is comprehensive and includes a review of a company’s business plan, solvency, reinsurance, rates, and forms, the character of its officers and directors and other of its financial and non-financial aspects. The regulatory authorities may prevent entry into a new market by not granting a license. In addition, regulatory authorities may preclude or delay our entry into markets by disapproving or withholding approval of our product filings.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regulatory and legislative bodies in Florida Rhode Island, and other states have adopted or proposed new laws or regulations to address the cyclical nature of the insurance industry, catastrophic events, and insurance capacity and pricing. These regulations, which are often temporary in nature, (i) restrict certain policy non-renewals or cancellations and require advance notice of certain policy non-renewals and (ii) from a practical standpoint, limit or delay rate changes for a specified period during or after a catastrophe event. Most states, including Florida and Rhode Island also have insurance laws requiring that rate schedules and other information be filed for review by the insurance regulatory authority. The insurance regulatory authority may disapprove a rate filing if it finds that the proposed rates would be inadequate, excessive, or unfairly discriminatory. Rates, which are not necessarily uniform for all insurers, vary by many factors including class of business, hazard covered, risk location and size of risk.</w:t>
      </w:r>
    </w:p>
    <w:p>
      <w:pPr>
        <w:pStyle w:val="TextBody"/>
        <w:bidi w:val="0"/>
        <w:jc w:val="left"/>
        <w:rPr/>
      </w:pPr>
      <w:r>
        <w:rPr/>
        <w:t> </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Human Capital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504 full-time employees. Our employees are not subject to any collective bargaining agreements, and we are not aware of any current efforts to implement such an agreement. We believe that our employee relationships are good, and we continue to explore opportunities to hire highly qualified insurance experts to expand our employee base and decrease our reliance on any individual employees.</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protection of our technology and intellectual property is an important aspect of our business. We rely upon a combination of trademarks, trade secrets, copyrights, confidentiality procedures, contractual commitments and other legal rights to establish and protect our intellectual property, which includes our proprietary algorithm for our reinsurance program. We generally enter into confidentiality agreements and invention assignment agreements with our employees and consultants to control access to, and clarify ownership of, our proprietary information and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did not own any U.S. or foreign patents and do not have any U.S. or foreign patent applications pending. As of December 31, 2025, we hold one registered U.S. copyright, three registered trademarks, seven pending U.S. trademark applications and no pending foreign trademark applications, and have no registered U.S. trademarks and no registered foreign trademarks. We regard our trademarks as valuable assets in marketing our products and services, and have and will continue to use commercially reasonable efforts to protect our trademarks against infringement. We continually review our development efforts to assess the existence and patentability of new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 Additionally, trade secrets can be difficult to protect.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see “</w:t>
      </w:r>
      <w:r>
        <w:rPr>
          <w:rFonts w:ascii="Times New Roman" w:hAnsi="Times New Roman"/>
          <w:i/>
          <w:color w:val="000000"/>
          <w:sz w:val="20"/>
        </w:rPr>
        <w:t>Risk Factors— Risks Relating to Our Intellectual Property and Data Privacy</w:t>
      </w:r>
      <w:r>
        <w:rPr>
          <w:rFonts w:ascii="Times New Roman" w:hAnsi="Times New Roman"/>
          <w:color w:val="000000"/>
          <w:sz w:val="20"/>
        </w:rPr>
        <w:t>.”</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internet website address is www.slideinsurance.com. We make available free of charge, through our website, our annual reports on Form 10-K, quarterly reports on Form 10-Q, current reports on Form 8-K, all amendments to those reports filed or furnished pursuant to Section 13(a) or 15(d) of the Securities Exchange Act of 1934, as amended (the “Exchange Act”) and proxy statements for our annual meeting of stockholders, as soon as reasonably practicable after each such material is electronically filed with or furnished to the SEC. The SEC also makes available at www.sec.gov reports, proxy and information statements and other information filed by issuers with the SEC, such as the Company. Our website is not incorporated by reference into this annual report on Form 10-K (“Report”).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a number of risks, including those described below, which could have a material effect on our results of operations, financial condition or liquidity and could cause our operating results to vary significantly from period to period.</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Risks Relating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and our business and future prospects are difficult to evaluate.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began operations in March 2021 and wrote our first policy on March 1, 2022. We expect to make significant investments to further develop and expand our business. In particular, we expect to continue to expend financial and other resources on marketing and advertising as part of our strategy to increase our customer base, which can result in expenses that exceed the related revenue generated in any given year. In addition, we expect to continue to increase our headcount significantly in the coming years. We may generate a net loss in the near term as we continue to make such investments to grow our business. Despite these investments, we may not succeed in increasing our revenue on the timeline that we expect or in an amount sufficient to lower a net loss or maintain profitable operations. Moreover, if our revenue declines, we may not be able to reduce costs in a timely manner because many of our costs are fixed at least in the short term. In addition, if we reduce variable costs to respond to losses, this may limit our ability to sign up new customers and grow our revenues. The foregoing factors could materially and adversely affect our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 substantial portion of our historical revenue has been generated from policies assumed from Citizens Property Insurance Corporation (“Citizens”), created by the Florida legislature in 2002 as not-for-profit, tax-exempt, government entity to provide property insurance to eligible Florida property owners unable to find insurance coverage in the private market, as well as our acquisition of policies from several Florida insurance companies and subsequent renewals of these policies. Our ability to participate in this program is subject to a variety of factors, including continuation of the program. There can be no assurance that Citizens will decide to continue the depopulation program for a significant period of time, or at all. Part of our ability to grow our premium base may depend upon the availability of future policy assumptions and acquisitions upon acceptable terms. We cannot provide assurance that such opportunities will increase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success and ability to grow our business depends on retaining and expanding our customer base. If we fail to add new customers or retain current customers, our business, results of operations and financial condition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growth of our business and revenues depends upon our ability to retain our existing customers and add new customers in our current geographic markets and in the markets in which we expand. While we have experienced significant customer growth since we commenced operations, we may not be able to maintain this growth and our customer base could shrink over time. Our ability to attract new customers and retain existing customers depends on our ability to continue providing positive insurance-buying and claims-filing customer experiences, competitive pricing and adequate insurance coverage. In order to maintain this reputation, we may be required to incur significantly higher marketing expenses, costs related to improving our service, and lower margins in order to attract new customers and retain existing customers. If we fail to remain competitive on customer experience, pricing and insurance coverage options, our ability to grow our business and generate revenue by attracting and retaining customers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many factors that could negatively affect our ability to grow our customer base, including but not limited to if: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customers in a particular marketplace generally do not meet our underwriting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lose customers to new market entrants and/or existing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obtain regulatory approvals necessary for expansion into new markets or in relation to our products (such as line, form, underwriting and rating approvals) or such approvals contain conditions that impose restrictions on our operations (such as limitations on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suffer reputational harm to our brand resulting from negative publicity, whether accurate or inaccurate;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fail to offer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disruptions, technical or other problems frustrate the customer experience or other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unable to address customer concerns;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overcome these potential challenges, they could impair our ability to attract new customers and retain existing customers, and could have a material adverse effect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“Slide” brand may not become as widely known as incumbents’ brands or the brand may become tarnished.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have brands that are well recognized. As a relatively new entrant into the insurance market, we have spent considerable money and other resources to create brand awareness and build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build additional brand awareness, and our efforts at building, maintaining and enhancing our reputation could fail. There are many factors that, whether valid or not, could diminish confidence in our brand, which could adversely affect our reputation, business, results of operations and financial condition,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complaints or negative publicity about our business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marketing and advertising campaigns;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applicable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integrity of the data that we provide to customers or business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privacy and security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practices or adverse financial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of our corporate governance or social responsibility;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conduct of our officers or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actions of a significant customer or other business with which we do business;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aspects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expand our product offerings and enter new markets, we must continue to establish our reputation in an expanded marketplace, and to the extent we are not successful in this endeavor, our business, results of operations and financial condition could be adversely affected. There can be no assurance that we will be able to maintain or enhance our reputation, and failure to do so could materially adversely affect our business, results of operations and financial condition. If we are unable to maintain or enhance consumer awareness of our brand cost-effectively, our business, results of operations and financial condition could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negative impacts of these or other events may be aggravated as consumers and other stakeholders increase their expectations regarding corporate conduct and responsibility. These impacts may be further complicated by the fact that their perceptions are formed through rapid and broad interactions using modern communication and social media tools over which we have no control. Any such event could decrease demand for our products, reduce our ability to recruit and retain employees and lead to greater regulatory scrutiny of our businesses.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failure to establish accurate reserves, a failure to adjust claims accurately, the denial of claims or our failure to accurately and timely pay claims could materially and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accurately and timely evaluate and pay claims that are made under our policies, including establishing accurate reserves. Many factors affect our ability to pay claims accurately and timely and establish accurate reserves, including, but not limited to, the efficacy of our claims processing software, the training and experience of our claims adjusters and third-party claims administrators and our ability to develop or select and implement appropriate procedures and systems to support our claims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speed by which we process and pay claims is a differentiating factor for our business and an increase in the average time to process claims could undermine our reputation and position in the insurance marketplace.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to pay claims accurately or timely, whether or not such allegations are accurate, could also lead to regulatory and administrative actions or material litigation, or result in damage to our reputation, any one of which could materially and adversely affect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claims adjusters or third-party claims administrators are unable to effectively process our volume of our customers’ claims, our ability to grow our business while maintaining high levels of customer satisfaction could be compromised, which in turn, could adversely affect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actual incurred losses may be greater than our loss and loss adjustment expense reserves, which could have a material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condition and results of operations depend on our ability to accurately assess potential losses and loss adjustment expenses under the terms of the policies we underwrite. Reserves do not represent an exact calculation of liability. Rather, reserves represent an estimate of what the expected ultimate settlement and administration of claims will cost, and the ultimate liability may be greater or less than the current estimate. In our industry, there is always the risk that reserves may prove inadequate as it is possible for us to underestimate the cost of claims and claims administration. We regularly monitor and evaluate loss and loss adjustment expense reserve development to determine reserve adequacy.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insurance reserves should prove to be inadequate for the reasons discussed above, or for any other reason, we would be required to increase reserves, which may negatively affect our net income and shareholders’ equity in the period in which the deficiency is identified. Future loss experience substantially in excess of established reserves could also have a material adverse effect on future earnings and liquidity and financial rating, which would affect our ability to attract new business or to retain existing customers. Ultimately, losses may vary materially from current loss reserves which could have a material, adverse effect on our future financial condition, results of operations and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success depends on our ability to accurately price the risks we underwrite.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financial condition depend on our ability to underwrite and set premium rates accurately for a wide variety of risks. Rate adequacy is necessary to generate sufficient premiums to pay losses, loss adjustment expenses, reinsurance costs and underwriting expenses and to earn a profit. Our ability to successfully perform these tasks, and as a result price our products accurately, is subject to a number of risks and uncertainties, some of which are outside our control,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sufficient reliable data and our ability to properly analyze available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delays in approving filed rate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uncertainties that inherently characterize estimates and assumptions;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selection and application of appropriate rating and pricing techniques;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legal standards, claim resolution practices and restoration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legislatively imposed consumer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could underprice risks, which would negatively affect our profit margins. We could also overprice risks, which could reduce the number of policies we write and our competitiveness. In either event, our profitability could be materially and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compete in the property and casualty insurance industry and our ability to expand our business is partially dependent on us maintaining our ratings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SIC and SSIC currently have a Financial Stability Rating (“FSR”) of A, Exceptional from Demotech, Inc. (“Demotech”), a financial analysis firm that provides FSRs and consulting services for property and casualty insurance companies and title underwriters. Demotech provides financial stability ratings to insurance companies of all sizes. When providing a rating, Demotech evaluates total assets, liabilities, revenues and expenses, working capital, administrative expenses, net income, surplus, receivables, amount of business written, industry focus and business model, among others. Below is Demotech’s rating scale: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 (A Double Prime), Unsurpassed: </w:t>
      </w:r>
      <w:r>
        <w:rPr>
          <w:rFonts w:ascii="Times New Roman" w:hAnsi="Times New Roman"/>
          <w:color w:val="000000"/>
          <w:sz w:val="20"/>
        </w:rPr>
        <w:t>100% of insurers with this rating are expected to have a positive surplus at least 18 months from the initial date of rating assignment;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 (A Prime), Unsurpassed: </w:t>
      </w:r>
      <w:r>
        <w:rPr>
          <w:rFonts w:ascii="Times New Roman" w:hAnsi="Times New Roman"/>
          <w:color w:val="000000"/>
          <w:sz w:val="20"/>
        </w:rPr>
        <w:t>99% of insurers with this rating are expected to have a positive surplus at least 18 months from the initial date of rating assignment;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 Exceptional: </w:t>
      </w:r>
      <w:r>
        <w:rPr>
          <w:rFonts w:ascii="Times New Roman" w:hAnsi="Times New Roman"/>
          <w:color w:val="000000"/>
          <w:sz w:val="20"/>
        </w:rPr>
        <w:t>97% of insurers with this rating are expected to have a positive surplus at least 18 months from the initial date of rating assignment;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S, Substantial: </w:t>
      </w:r>
      <w:r>
        <w:rPr>
          <w:rFonts w:ascii="Times New Roman" w:hAnsi="Times New Roman"/>
          <w:color w:val="000000"/>
          <w:sz w:val="20"/>
        </w:rPr>
        <w:t>95% of insurers with this rating are expected to have a positive surplus at least 18 months from the initial date of rating assignment;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M, Moderate: </w:t>
      </w:r>
      <w:r>
        <w:rPr>
          <w:rFonts w:ascii="Times New Roman" w:hAnsi="Times New Roman"/>
          <w:color w:val="000000"/>
          <w:sz w:val="20"/>
        </w:rPr>
        <w:t>90% of insurers with this rating are expected to have a positive surplus at least 18 months from the initial date of rating assignment;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 Licensed: </w:t>
      </w:r>
      <w:r>
        <w:rPr>
          <w:rFonts w:ascii="Times New Roman" w:hAnsi="Times New Roman"/>
          <w:color w:val="000000"/>
          <w:sz w:val="20"/>
        </w:rPr>
        <w:t>These companies have been assessed but have not been given one of the financial strength ratings listed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our Demotech rating has proved satisfactory to date, we cannot assure that this rating will remain at its current level. Furthermore, we do not currently have a rating from AM Best Company, a U.S.-based credit rating agency (“AM Best”). It is possible that some prospective customers may be reluctant to do business with a company that is not rated by AM Best and not having an AM Best rating may prevent us from expanding our business or limit our access to credit from certain financial institutions, which may in turn limit our ability to compete with large, national insurance companies and certain regional insurance companies.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pursue opportunities to participate in Citizens’ take-out program and directly assume policies issued by Citizens to policyholders who were otherwise unable to obtain private insurance. Take-out opportunities are subject to a number of timing and execution risks, and we may fail to participate in Citizens’ take-out programs on terms that are ultimately profitable to us, or at all. If we are unable to expand our product offerings, our prospects for future growth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customers and therefore increase our revenue may depend, in part, on our ability to successfully expand our product offerings. We have historically concentrated our efforts on homeowners and, beginning in the fourth quarter of 2024, commercial residential insurance markets in order to achieve our long-term goals. Our success in the homeowners and commercial residential insurance market depends on our deep understanding of this industry. Developing this level of understanding in other markets may require substantial investments of time and resources, and we may not be successful. In addition to the need for substantial resources, insurance regulation could limit our ability to introduce new product offerings. Additionally, any new insurance products could take time to be approved by regulatory authorities or may not be approved at all. If we fail to penetrate new vertical markets successfully, our revenue may grow at a slower rate than we anticipate and our business, results of operations and financial condition could be materially and adversely affected. In addition, our decision to expand our insurance product offerings beyond the homeowners and commercial residential insurance market would subject us to additional regulatory requirements specific to such insurance products, which, in turn, could require us to incur additional costs or devote additional resources to compliance.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Competition in the segments of the insurance industry in which we operate could negatively affect our ability to attain or increase profitability.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homeowners and commercial residential insurance markets, particularly in Florida and South Carolina where we currently operate as an admitted carrier, are highly competitive. Some of our competitors have substantially greater financial resources, higher financial ratings, greater name recognition, broader access to capital, more extensive agency networks, and the ability to offer bundled products. These competitors may have some significant advantages over us, and as we pursue expansion into additional states, potentially on both admitted and non-admitted bases, we expect to face competition from established insurers already operating in those markets. Moreover, as we introduce new insurance products or lines of business beyond our current homeowners and commercial residential focus, we expect to encounter competition from carriers with established positions in those areas, and any such new products may require months for regulatory approval or may not be approved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also face emerging competition from technology-driven companies and entrants that have begun operating in adjacent insurance categories and may expand into homeowners and commercial residential products, potentially offering more competitive pricing, innovative distribution, or advanced claims processing capabilities that could erode any advantages we have developed through our technology platform. Traditional insurers may similarly adapt by incorporating similar technologies, leveraging their greater scale and resources to further intensify competition. There can be no assurance that we will continue to compete successfully in the jurisdictions where we operate or into which we may expand. Increased competition could lead to pricing pressure, reduced premium adequacy, challenges in retaining existing business or underwriting new policies on favorable terms, shifts in supply and demand dynamics, or difficulties in maintaining relationships with customers, agents, and other third-party partners. Any failure to compete effectively could materially and adversely affect our business, results of operations, and financial condition.</w:t>
      </w:r>
    </w:p>
    <w:p>
      <w:pPr>
        <w:pStyle w:val="TextBody"/>
        <w:bidi w:val="0"/>
        <w:jc w:val="left"/>
        <w:rPr>
          <w:rFonts w:ascii="Times New Roman" w:hAnsi="Times New Roman"/>
          <w:sz w:val="20"/>
        </w:rPr>
      </w:pPr>
      <w:r>
        <w:rPr>
          <w:rFonts w:ascii="Times New Roman" w:hAnsi="Times New Roman"/>
          <w:b/>
          <w:i/>
          <w:color w:val="000000"/>
          <w:sz w:val="20"/>
        </w:rPr>
        <w:t>Reinsurance may be unavailable at current levels and prices, which may limit our ability to write new business. Furthermore, reinsurance subjects us to counterparty risk and may not be adequate to protect us against losses, which could have a material effect on our results of operations and financial condition.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rely on reinsurance to manage our exposure to property and casualty risks, particularly catastrophic events such as hurricanes in Florida, where we conduct a significant portion of our business. Reinsurance does not relieve us of our primary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liability to policyholders for covered losses, and we remain obligated to pay claims even if our reinsurers fail to perform. As a result, we are exposed to counterparty credit risk, including the possibilities that one or more reinsurers become financially impaired, are unable or unwilling to pay claims timely or at all, dispute coverage under the treaties, or experience downgrades in financial strength ratings. Disputes with reinsurers can be lengthy, expensive, and uncertain in outcome. Our reinsurance treaties are subject to fixed terms, liability caps, reinstatement provisions, and severable liability among reinsurers. Certain treaties may not extend to mandatory renewals of policies under state law or may not provide coverage for non-cancellable or non-renewable policies in a way that fully protects us. As of June 1, 2025, our program included substantial coverage in first-event private catastrophe excess of loss reinsurance with specified reinstatement limits, Florida Hurricane Catastrophe Fund coverage, multiple layers of excess per risk and facultative reinsurance for homeowners and commercial residential policies, and collateralized arrangements through our captive reinsurer. All rated reinsurers maintain A.M. Best ratings of "A-" or better, and we have contractual rights to replace any reinsurer whose rating falls below this threshold, though replacement could involve significant additional costs.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1, 2025, we had: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$1.52 billion in first-event private catastrophe excess of loss reinsurance, which provides protection for a 1-in-143-year first-event loss as of September 30, 2025; of this approximately $1.52 billion limit, $588 million reinstates one time and 70% of $50 million reinstates two times;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FHCF reinsurance, which provides SIC coverage for a catastrophe occurrence where losses exceed $557 million. The coverage provided is 90% of losses, up to a $943.1 million limit, in excess of the $557 million triggering threshold. This reinsurance coverage does not reinstate after a triggering event;</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excess per risk” reinsurance coverage provides four layers of excess coverage for homeowners. The first excess layer provides $300,000 limit of loss coverage in excess of SIC’s “per risk” retention limit of $700,000 for any loss occurrence excluding a Named Wind occurrence. The second excess layer provides $1,000,000 limit of loss coverage in excess of $1,000,000 “per risk” retention. The third excess layer provides $1,000,000 limit of loss coverage in excess of $2,000,000 “per risk” retention. The fourth excess layer provides $2,000,000 limit of loss coverage in excess of $3,000,000 “per risk” retention. This agreement provides for unlimited reinstatements for the first excess layer, four reinstatements for the second excess layer, two reinstatements for the third excess layer, and one reinstatement for the fourth excess layer during the treaty period. Reinsurance coverage provides three layers of excess coverage for commercial residential. The first excess layer provides $1,000,000 limit of loss coverage in excess of SIC’s “per risk” retention limit of $1,000,000 for any loss occurrence excluding a Named Wind occurrence. The second excess layer provides $3,000,000 limit of loss coverage in excess of $2,000,000 “per risk” retention. The third excess layer provides $5,000,000 limit of loss coverage in excess of $5,000,000 “per risk” retention; and</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facultative” reinsurance coverage provides coverage above the “excess per risk” agreement of $7 million limit of loss coverage in excess of $5 million “per risk” for any loss occurrence excluding a Named Wind occurrence for homeowners. Reinsurance coverage provides coverage above the “excess per risk” agreement of $50 million limit of loss coverage in excess of $10 million “per risk” for any loss occurrence excluding a Named Wind occurrence for commercial residential.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availability, cost, and terms of reinsurance are subject to market conditions and factors beyond our control, including prior catastrophe losses, changes in capital market capacity, regulatory developments, and perceived risk in high-exposure areas like Florida. Our current catastrophe reinsurance agreements excluding catastrophe bonds expire on May 31, 2026, with catastrophe bonds maturing between April 24, 2026, and June 1, 2028; other agreements are continuous or expire on specified dates such as November 1, 2026. We may be unable to renew or replace expiring treaties on comparable terms, limits, or pricing, or at all, which could force us to retain more risk, reduce underwriting volume, or incur higher reinsurance costs that pressure profitability until premium rates can be adjusted, subject to regulatory approval. If reinsurance becomes unavailable or unaffordable at acceptable levels, we may face increased net retained exposures to catastrophes or other losses, potentially leading to greater volatility in results, reduced capacity to write new or renewal business, or a downgrade in our financial stability rating, any of which could materially and adversely affect our business, results of operations, financial condition, and ability to continue as a going concern. We may also alter our reinsurance structure in the future, which could impact our overall risk profile and capital position.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Failure to maintain our risk-based capital at the required levels could adversely affect the ability of SIC and SSIC to maintain regulatory authority to conduct our business.</w:t>
      </w:r>
    </w:p>
    <w:p>
      <w:pPr>
        <w:pStyle w:val="TextBody"/>
        <w:bidi w:val="0"/>
        <w:jc w:val="both"/>
        <w:rPr>
          <w:rFonts w:ascii="Times New Roman" w:hAnsi="Times New Roman"/>
          <w:color w:val="000000"/>
          <w:sz w:val="20"/>
        </w:rPr>
      </w:pPr>
      <w:r>
        <w:rPr>
          <w:rFonts w:ascii="Times New Roman" w:hAnsi="Times New Roman"/>
          <w:color w:val="000000"/>
          <w:sz w:val="20"/>
        </w:rPr>
        <w:t xml:space="preserve">We are required to have sufficient capital and surplus in order to comply with insurance regulatory requirements, support our business operations and minimize our risk of insolvency. Failure to maintain adequate risk-based capital at the required levels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could result in increasingly onerous reporting and examination requirements and could adversely affect our ability to maintain regulatory authority to conduct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maintain our financial strength ratings could adversely affect SIC's and SSIC's competitive position in the insurance industry and its ability to conduct our business as currently conducted.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strength ratings are an important factor in evaluating and establishing the competitive position of insurance companies. These ratings represent the independent opinion of an insurer’s financial strength, operating performance and ability to meet policyholder obligations. Higher ratings generally indicate greater financial stability and a stronger ability to meet ongoing obligations to policyholders. Rating agencies could downgrade or change the outlook on ratings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financial profile of one of our insurance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 rating agency’s determination of the amount of capital required to maintain a particular rating;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the perceived risk of our investment portfolio, a reduced confidence in management or our business strategy, or other considerations that may or may not be under our control.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downgrade in our financial strength ratings, such as those provided by Demotech, Inc., could materially and adversely affect our business. Such a downgrade may reduce our competitiveness in the marketplace, impair our ability to attract new customers or retain existing policyholders, limit the marketability of our insurance products, decrease sales volumes, and increase the cost or restrict our access to capital markets and other sources of liquidity, including borrowings. In addition, a significant downgrade could trigger regulatory scrutiny or intervention, potentially leading to supervision, rehabilitation, or liquidation proceedings for our insurance carrier subsidiary, which would have a severe adverse impact on our results of operations, financial condition, and ability to continue as a going concern.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establishment and maintenance of adequate premium rates are critical to our profitability, yet involve significant uncertainties and risks. Premiums are set at policy inception, before all underlying costs are fully known, and we rely on estimates, actuarial projections, historical data including customer interactions analyzed through our proprietary technology, competitive assessments, and assumptions regarding future trends in loss frequency and severity, inflation, investment yields, and other factors to determine rates across multiple risk tiers and geographic markets. If we fail to accurately assess risks, collect and analyze sufficient reliable data, develop and apply appropriate pricing models, monitor emerging trends, or account for regulatory constraints, competitive dynamics, litigation outcomes, legislative changes, or other uncertainties, we may underprice policies and fail to generate sufficient revenue to cover losses, expenses, and other obligations, resulting in underwriting losses and erosion of capital. Conversely, overpricing could reduce our competitiveness, leading to lower new business production, higher non-renewal rates, and decreased premium volume. State insurance regulations may further limit our ability to non-renew policies, cancel coverage, or implement timely rate increases in response to adverse loss experience or changing conditions, potentially requiring us to retain unprofitable business or incur higher reinsurance or other costs. Any material inaccuracies in our pricing methodology or inability to adjust rates effectively could result in adverse selection, increased loss ratios, reduced profitability, and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Retention of business written by our subsidiary could expose us to potential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retain risk for our own account on business underwritten by our insurance company subsidiary. The determination to reduce the amount of reinsurance we purchase, or not to purchase reinsurance for a particular risk, customer segment or niche is based on a variety of factors, including market conditions, pricing, availability of reinsurance, our capital levels and loss experience. Retention increases our financial exposure to losses and significant losses could have a material adverse effect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future success may be materially affected by</w:t>
      </w:r>
      <w:r>
        <w:rPr>
          <w:rFonts w:ascii="Times New Roman" w:hAnsi="Times New Roman"/>
          <w:color w:val="000000"/>
          <w:sz w:val="20"/>
        </w:rPr>
        <w:t xml:space="preserve"> </w:t>
      </w:r>
      <w:r>
        <w:rPr>
          <w:rFonts w:ascii="Times New Roman" w:hAnsi="Times New Roman"/>
          <w:b/>
          <w:i/>
          <w:color w:val="000000"/>
          <w:sz w:val="20"/>
        </w:rPr>
        <w:t>our ability to continue to develop and implement our technology, and to maintain the confidentiality of this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characterized by rapidly changing technologies and evolving industry standards. Our future success may depend, in part, on our ability to develop and offer new products with improved capabilities and to continue to enhance our existing products, which will require the investment of significant financial resources. We may not be able to successfully identify new opportunities and may not have the necessary financial resources to develop new products and services and technologies in a timely or cost-effective manner. Furthermore, the need to make these expenditures could divert our attention and resources from other projects, and we cannot be sure that these expenditures ultimately will lead to the timely development of new products and services or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existing regulations, their interpretation or implementation, or new regulations could impede our use of this technology, or require that we disclose our proprietary technology to our competitors, which could impair our competitive position and result in a material adverse effect on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our digital platform to collect data points that we evaluate in pricing and underwriting our insurance policies, managing claims and customer support and improving business processes, and any legal or regulatory requirements that restrict our ability to collect this data could thus materially and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digital platform to collect data that we evaluate in pricing and underwriting our insurance policies, managing claims and customer support and improving business processes. If federal, state or international regulators were to determine that the type of data we collect, the process we use for collecting this data or how we use it unfairly discriminates against some groups of people, laws and regulations could be interpreted or implemented to prohibit or restrict our collection or use of this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State regulators may issue regulations or pass legislation imposing requirements on the collection, use and disclosure of data, external data sources, algorithms and/or predictive models in insurance underwriting or rating, including to address concerns about the potential for unfair discrimination and lack of consumer transparency associated with the use of consumer data. If such laws or regulations were enacted federally or in a large number of states in which we operate, it could impact our business, including the integrity of our pricing and underwriting processes. A determination by federal or state regulators that the data points we collect and the process we use for collecting this data unfairly discriminates against some groups of people could also subject us to fines and other sanctions, including, but not limited to, disciplinary action, revocation and suspension of licenses and withdrawal of product forms. Any such event could, in turn, materially and adversely affect our business, results of operations and financial condition, and make it harder for us to be profitable over time. Although we have implemented policies and procedures into our business operations that we feel are appropriately calibrated to our artificial intelligence and automation-driven operations, these policies and procedures may prove inadequate to manage our use of this nascent technology, resulting in a greater likelihood of inadvertent legal or compliance failures.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undertake advertising campaigns and other efforts to improve brand recognition, generate new business and increase the retention of our current customers. If these campaigns or efforts are unsuccessful or are less effective than those of competitors, our business could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developed, continue to develop and regularly undertake innovative approaches to advertising campaigns and other efforts that generate new business, improve brand recognition, build customer trust in our brand and maintain or increase the retention of our customers. We believe the effectiveness of our methodologies is particularly important given our direct-to-consumer distribution model and our customer-focused approach. If our marketing and retention approach became unsuccessful or our brand reputation was compromised, our business, results of operations and financial condition could be materially adversely affected.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depend, in part, on technology platforms to attract customers to our insurance products. If one or more of these technology platforms modifies its processes, changes its policies, terminates our relationship, or introduces changes that reduce the visibility or effectiveness of our advertisements, we could experience a significant decline in advertising reach, higher customer acquisition costs, or fewer conversions to policy sales. Additionally, widespread adoption of avoidance of advertising in multiple ways by consumers or regulatory changes that restrict data collection and targeted advertising practices by major platforms could diminish the reach and effectiveness of our advertising, forcing us to increase marketing expenditures or shift resources to less efficient channels. Any such developments could materially and adversely affect our ability to acquire customers, maintain or grow premium volume, and achieve profitable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also rely on relationships with business development partners and certain third-party distribution platforms to attract customers, as well as our own direct-to-consumer channels that leverage our underwriting technology to target profitable segments. If these partners increase their fees, terminate their relationships with us, or face regulatory restrictions that prevent them from distributing our insurance products in compliance with state insurance laws, our customer acquisition could be significantly impaired. Moreover, our expansion of direct marketing efforts may attract heightened scrutiny from state insurance regulators under laws prohibiting unfair methods of competition or deceptive acts or practices, potentially resulting in enforcement actions, fines, or limitations on our marketing activities. If we are unable to maintain effective customer acquisition channels or adapt to changes in digital platforms, partner relationships, or regulatory environments, our business, results of operations, and financial condition could be materially and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require additional capital to grow our business, which may not be available on terms acceptable to us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our present capital is insufficient to meet future operating requirements (including regulatory capital requirements) or to cover losses, we may need to raise additional funds through financings or curtail our projected growth. Many factors will affect our capital needs as well as their amount and timing, including our growth and profitability, the availability of reinsurance, as well as market disruptions and other developments.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Historically, we have funded our operations, marketing expenditures and capital expenditures primarily through equity issuances and debt issuances. We evaluate financing opportunities from time to time, and our ability to obtain financing will depend, among other things, on our development efforts, business plans and operating performance and the condition of the capital markets at the time we seek financing. In addition, certain regulatory bodies may not permit additional equity issuances or other forms of financing that we may wish to pursue. We cannot be certain that additional financing will be available to us on favorable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through the issuance of equity, equity-linked or debt securities, those securities may have rights, preferences or privileges senior to those of our common stock, and our existing stockholders may experience dilution. Any debt financing secured by us in the future could require that a substantial portion of our operating cash flow be devoted to the payment of interest and principal on such indebtedness, which may decrease available funds for other business activities, and could involve restrictive covenants relating to our capital-raising activities and other financial and operational matters, which may make it more difficult for us to obtain additional capital and to pursue business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adequate financing or financing on terms satisfactory to us, when we require it, our ability to continue to support our business growth, maintain minimum amounts of risk-based capital and to respond to business challenges could be adversely affected, and our business, results of operations and financial condition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periodically subject to examinations by our state insurance regulators, which could result in adverse examination findings and necessitate remedial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SIC is a Florida-domiciled insurer, our primary insurance regulator responsible for our supervision and examination is the FLOIR. Periodically, the FLOIR performs examinations of insurance companies under its jurisdiction to assess compliance with applicable laws and regulations, financial condition and the conduct of regulated activities. These examinations provide the FLOIR a significant opportunity to review and scrutinize our business. If, as a result of an examination, the FLOIR determines that our financial condition, capital resources or other aspects of any of our operations are less than satisfactory, or that we are in violation of applicable laws or regulations, the FLOIR may require us to take one or more remedial actions or otherwise subject us to regulatory scrutiny, such as pursuant to an enforcement action. We cannot necessarily predict with precision the likelihood, nature or extent of any necessary remedial actions, if any, resulting from such an examination, or the associated costs of such remedial actions or regulatory scrutiny. In addition, insurance regulators of other states in which we are licensed to operate may also conduct periodic financial examinations or other targeted investigations. Any regulatory or enforcement action or any regulatory order imposing remedial, injunctive or other corrective action against us resulting from these examinations could have a material adverse effect on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the experience and expertise of our Co-Founders, senior management team, highly specialized insurance experts, key technical employees and other highly skilled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to date has depended heavily upon the service of Bruce Lucas, our co-founder and Chief Executive Officer, and Shannon Lucas, our co-founder, President and Chief Operating Officer (collectively with Mr. Lucas, our “Co-Founders”) our senior management team, highly specialized insurance experts and key technical employees. Our future success depends on our continuing ability to identify, hire, develop, motivate, retain and integrate highly skilled personnel for all areas of our organization. If we are unable to attract the requisite personnel, our business and prospects may be adversely affected. Each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Co-Founders, executive officers, specialized insurance experts, key technical personnel and other employees could terminate his or her relationship with us at any time. The loss of either of our Co-Founders or any other member of our senior management team, specialized insurance experts or key personnel might significantly delay or prevent the achievement of our strategic business objectives and could harm our business. Competition in our industry for qualified employees is formidable . Our compensation arrangements, such as our equity award programs, may not always be successful in attracting new employees and retaining and motivating our existing employees. Moreover, if and when the stock options or other equity awards are substantially vested, employees under such equity arrangements may be more likely to leave, particularly when the underlying shares have seen a value appreciation.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need to increase our employee compensation levels in response to competitor actions. If we are unable to hire new employees quickly enough to meet our needs, or otherwise fail to effectively manage our hiring needs or successfully integrate new hires, including, but not limited to, our recently hired management team members, our efficiency, ability to meet forecasts and our employee morale, productivity and retention could suffer, which in turn could have an adverse effect on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must forecast sales and claims volume and other factors in changing business environments with reasonable accuracy and adjust our hiring and training programs and employment levels accordingly. Our failure to recognize the need for such adjustments, or our failure or inability to react appropriately on a timely basis, could lead either to over- staffing or under-staffing in one or more business units. In either such event, our financial results, customer relationships, employee morale and brand could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also depends, in large part, on our ability to maintain and improve staffing effectiveness and the culture that we have developed over the years. Our ability to do so may be impaired as a result of litigation against us, other judicial decisions, legislation or regulations or other factors in the employment marketplace, as well as our failure to recognize and respond to changing trends and other circumstances that affect our employees. In such events, the productivity of our workers and the efficiency of our operations could be adversely affected, which could lead to an erosion of our operating performance and margins.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customers were to claim that the policies they purchased failed to provide adequate or appropriate coverage, we could face claims that could harm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aim to provide adequate and appropriate coverage under each of our policies, customers could purchase policies that prove to be inadequate or inappropriate. If such customers were to bring a claim or claims alleging that we failed in our responsibilities to provide them with the type or amount of coverage that they sought to purchase, we could be found liable for amounts significantly in excess of the policy limit, potentially resulting in an adverse effect on our business, results of operations and financial condition. While we maintain errors and omissions insurance coverage to protect us against such liability, such coverage may be insufficient or inadequate.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Misconduct or fraudulent acts by employees, agents or third parties may expose us to financial loss, disruption of business, regulatory assessments and reputational harm.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Company and the insurance industry are inherently susceptible to past and future misconduct or fraudulent activities by employees, representative agents, vendors, customers or other third parties. These activities could include fraud against the Company, its employees and its customers through illegal or prohibited activities, or unauthorized acts or representations, unauthorized use or disclosure of personal or proprietary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unable to prevent, monitor or detect fraudulent activity, including policy acquisitions or payments of claims that are fraudulent in nature.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maintain adequate systems and processes to prevent, monitor and detect fraud, including, but not limited to, employee fraud, fraudulent policy acquisitions, vendor fraud or fraudulent claims activity, or if inadvertent errors occur with such prevention, monitoring and detection systems due to human or computer error, business, results of operations and financial condition could be materially adversely affected. While we believe past incidents of fraudulent activity have been minor and isolated, we cannot be certain that our systems and processes will always be adequate in the face of increasingly sophisticated and ever-changing fraud schemes. We use a variety of tools to protect against fraud, but these tools may not always be successful at preventing such fraud.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exposure to loss activity and regulation may be greater in states where we currently have most of our customers, including Florida.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nearly all of the gross premiums written for SIC originated from customers in Florida. As a result of this concentration, if a significant catastrophe event or series of catastrophe events occur and causes material losses in Florida, our business, results of operations and financial condition could be materially adversely affected. Further, as compared to our competitors who operate on a wider geographic scale, any adverse changes in the regulatory environment affecting property and casualty insurance in Florida may expose us to more significant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geographic concentration of our policies in counties that border the Atlantic Ocean in Florida and South Carolina may increase the risk that our business is impacted by one or more catastrophes specific to these regions, such as hurricanes, winter storms, windstorms and hailstorms. In the event of such catastrophes, the laws and regulations of Florida and South Carolina, as well as of other states we may enter in the future, may restrict or prevent us from taking actions to reduce our exposure to losses related to such catastrophes. For example, we may be prevented from using non-renewals or cancellations to limit our exposure following a catastrophe, may be required to provide additional advance notice of non-renewals and cancellations, may be subject to rate change delays or limits or may be prevented from exiting a market that has become unprofitable.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Litigation and legal proceedings filed by or against us could have a material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and other proceedings may include, but are not limited to, complaints from or litigation by customers or reinsurers, related to alleged breaches of contract or otherwise. As our market share increases, competitors may pursue litigation to require us to change our business practices or offerings and limit our ability to compete effectively. As is typical in the insurance industry, we continually face risks associated with litigation of various types arising in the normal course of our business operations, including disputes relating to insurance claims under our policies as well as other general commercial and corporate litigation. Although we are not currently involved in any material litigation with our customers, members of the insurance industry are often the target of class action lawsuits and other types of litigation, some of which involve claims for substantial amounts, and the outcomes of which are unpredictable. This litigation may be based on a variety of issues, including insurance and claim settlement practices. In addition, because we use sophisticated data collection and analysis technologies, it is possible that customers or consumer groups could bring individual or class action claims alleging that our methods of collecting data and pricing risk are impermissibly discriminatory. We cannot predict with any certainty whether we will be involved in such litigation in the future or what impact such litigation would have on our business. If we were to be involved in litigation and it was determined adversely, it could require us to pay significant damages or to change aspects of our operations, either of which could have a material adverse effect on our financial results. Even claims without merit can be time-consuming and costly to defend and may divert management’s attention and resources away from our business and adversely affect our business, results of operations and financial condition. Additionally, routine lawsuits over claims that are not individually material could in the future become material if aggregated with a substantial number of similar lawsuits. In addition to increasing costs, a significant volume of customer complaints or litigation could adversely affect our brand and reputation, regardless of whether such allegations are valid or whether we are liable. We cannot predict with certainty the costs of defense, the costs of prosecution, insurance coverage or the ultimate outcome of litigation or other proceedings filed by or against us, including remedies or damage awards, and adverse results in such litigation, and other proceedings, may harm our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risks related to online payment processing, including risks related to our third-party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on a limited number of providers to provide payment processing services, including the processing of payments from credit cards and debit cards, and our business would be disrupted if such vendors become unwilling or unable to provide these services to us and we are unable to find suitable replacements on a timely basis. If we or our processing vendors fail to maintain adequate systems for the authorization and processing of credit card transactions, it could cause one or more of the major credit card companies to disallow our continued use of their payment products. In addition, if these systems fail to work properly and, as a result, we do not charge our customers’ credit cards on a timely basis or at all, our business, revenue, results of operations and financial condition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payment methods that we offer also subject us to potential fraud and theft by criminals, who are becoming increasingly more sophisticated, seeking to obtain unauthorized access to or exploit weaknesses that may exist in the payment systems. In addition, we are subject to the Payment Card Industry Data Security Standard (“PCI DSS”). PCI DSS is a specific set of comprehensive security standards imposed by payment card networks on companies that process credit card information, related to enhancing payment account information security, including, but not limited to, requirements for security management, policies, procedures and standards related to network architecture, software design and certification requirements. PCI DSS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is required in order to maintain credit card processing services and to provide our payment facilitation services. Additionally, we are also required to comply with payment card network operating rules, which are set and interpreted by the payment card networks. Payment card networks could adopt new operating rules or interpret or reinterpret existing rules in ways that might prohibit us from providing certain services to some consumers, be costly to implement or be difficult to follow. Moreover, compliance with PCI DSS does not guarantee a completely secure environment and, notwithstanding the results of a compliance assessment, there can be no assurance that payment card networks will not request further compliance assessments or set forth additional requirements binding on us to maintain access to credit card processing services. Compliance is an ongoing effort and the requirements evolve as new threats are identified. In the event that we were to lose PCI DSS compliance status (or fail to renew compliance under a future version of the PCI DSS), or if we fail to comply with applicable rules or requirements for the payment methods we accept, or if payment-related data are compromised due to a breach of data, we may be liable for significant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If we fail to adequately control fraudulent credit card transactions, we may face civil liability, diminished public perception of our security measures and significantly higher credit card-related costs, each of which could harm our business, results of operations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Performance of our investment portfolio is subject to a variety of investment risks that may adversely affect our financial results.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Our results of operations are significantly influenced by the performance of our investment portfolio, which is diversified in accordance with our investment policy and overseen by the investment committee of our insurance carrier subsidiary. However, this portfolio is exposed to broad economic and market risks, including fluctuations in interest rates, equity prices, credit quality, and liquidity conditions, as well as risks specific to individual securities. Prolonged low interest rates could suppress our net investment income from fixed income securities and short-term investments, while rising interest rates, such as those implemented by the Federal Reserve to combat inflation, may decrease the fair value of our fixed income holdings, particularly those with longer durations, and increase borrowing costs under variable-rate facilities like our credit agreement. Fixed income securities with call or prepayment options may create reinvestment risks in declining rate environments, and mortgage-backed or asset-backed securities could experience altered prepayment speeds amid interest rate volatility. Equity investments are subject to market declines that could result in realized or unrealized losses. Any such interest rate or market volatility could materially and adversely affect our investment returns, liquidity, and overall financial condition.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Additionally, our portfolio faces credit risks from potential defaults or impairments due to issuer financial deterioration or guarantor insolvency, as well as credit rating downgrades that negatively impact security valuations. In illiquid markets, valuations become more subjective, increasing the likelihood that recorded fair values do not align with realizable transaction prices. Our third-party investment manager may encounter heightened scrutiny or restrictions related to environmental, social, and governance considerations, potentially imposing additional costs or constraining investment strategies. Although we manage these risks through guidelines on asset allocations, credit quality thresholds, and regulatory compliance, there is no assurance that our objectives will be met, and investment losses could coincide with underwriting losses, amplifying their impact. Failure to preserve capital or achieve targeted returns could materially and adversely affect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expect our results of operations to fluctuate on a quarterly and annual basis. In addition, our operating results and operating metrics are subject to seasonality and volatility, which could result in fluctuations in our quarterly revenues and operating results or in perceptions of our business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and results of operations could vary significantly from period to period and may fail to match expectations as a result of a variety of factors, some of which are outside of our control. Our results may vary as a result of fluctuations in the number of customers purchasing our insurance products and fluctuations in the timing and amount of our expenses. In addition, the insurance industry, and particularly homeowners and commercial residential insurance, are subject to their own cyclical trends and uncertainties, including extreme weather which is often seasonal and may result in volatility in claims reporting and payment patterns. Fluctuations and variability across the industry may affect our revenue.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our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seasonal fluctuations in our revenues and resulting fluctuations in our rate of growth as a result of insurance spending patterns. Volatility in our key operating metrics or their rates of growth could have a negative impact on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results and investor perceptions of our business prospects and a failure to achieve our quarterly forecasts or to meet or exceed the expectations of research analysts or investors may cause our stock price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goal is to maximize the long-term value of the business; we do not manage to short-term earnings expectations, which at times may adversely affect short-term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stockholder value will be increased in the long run if we meet or exceed the financial goals and policies that we establish each year. We do not manage our business to maximize short-term stock performance. Due to our focus on the long-term value of the enterprise, we may undertake business strategies and establish related financial goals for a specific year that are designed to enhance our longer-term performance, while understanding that such strategies may not always similarly benefit short-term results. Consequently, these strategies may adversely affect short-term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actual renewals of our existing contracts do not meet expectations, our premiums written in future years and our future results of operations could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policies are written for a one-year term. We make assumptions about the renewal of our prior year’s contracts, including for purposes of determining the amount of reinsurance we purchase. If actual renewals do not meet expectations or if we choose not to write on a renewal basis because of pricing conditions, our premiums written in future years and our future operations would be materially adversely affected, and we may purchase reinsurance beyond what we believe is the most appropriate level.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be forced to sell investments to meet our liquidity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invest the premiums we receive from our insureds until they are needed to pay policyholder claims. Consequently, we seek to manage the duration of our investment portfolio based on the duration of our losses and loss adjustment expenses reserves to ensure sufficient liquidity and avoid having to liquidate investments to fund claims. Risks such as inadequate losses and loss adjustment expenses reserves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debt outstanding that could adversely affect our financial flexibility and subjects us to restrictions and limitations that could significantly impact our ability to operate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total consolidated debt outstanding of approximately $33.7 million. In the year ended December 31, 2025 and December 31, 2024, we had debt servicing costs of $2.8 million and $3.3 million, respectively, most of which was attributable to interest. The level of debt we have outstanding during any period could adversely affect our financial flexibility. We also bear risk at the time debt matures. Our ability to make interest and principal payments, to refinance our debt obligations and to fund our planned capital expenditures will depend on our ability to generate cash from operations. Our ability to generate cash from operations is, to a certain extent, subject to general economic, financial, competitive, legislative, regulatory and other factors that are beyond our control, such as an environment of rising interest rates. The need to service our indebtedness will also reduce our ability to use cash for other purposes, including working capital, dividends to stockholders, acquisitions, capital expenditures, share repurchases and general corporate purposes. If we cannot service our indebtedness, we may have to take actions such as selling assets, seeking additional equity or reducing or delaying capital expenditures, strategic acquisitions and investments, any of which could impede the implementation of our business strategy or prevent us from entering into transactions that would otherwise benefit our business. Additionally, we may not be able to affect such actions, if necessary, on favorable terms or at all. We may not be able to refinance any of our indebtedness on favorable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25, 2024, we entered into an amended and restated credit agreement with Regions Bank for a $10.0 million revolving credit facility, which was increased to $45.0 million pursuant to the accordion feature on March 20, 2025, a term loan in an aggregate principal amount of $40.0 million and one or more delayed draw term loans in an aggregate principal amount not to exceed $125.0 million (together, the “Credit Facility”). The Credit Facility contains covenants that, among other things, restrict our ability to make certain restricted payments, incur additional debt, engage in certain asset sales, mergers, acquisitions or similar transactions, create liens on assets, engage in certain transactions with affiliates, change our business or make investments and require us to comply with certain financial covenants. The restrictions in the Credit Facility may prevent us from taking actions that we believe would be in the best interest of our business and our stockholders and may make it difficult for us to execute our business strategy successfully or effectively compete with companies that are not similarly restricted. We may also incur future debt obligations that might subject us to additional or more restrictive covenants that could affect our financial and operational flexibility, including our ability to pay dividends. We cannot make any assurances that we will be able to refinance our debt or obtain additional financing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terms acceptable to us, or at all. A failure to comply with the restrictions under the Credit Facility could result in a default under the financing obligations or could require us to obtain waivers from our lenders for failure to comply with these restrictions. The occurrence of a default that remains uncured or the inability to secure a necessary consent or waiver could cause our obligations with respect to our debt to be accelerated and have a material adverse effect on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failure of the risk mitigation strategies we utilize could have a material adverse effect on our business, results of operations or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utilize a number of strategies to mitigate our risk exposure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employing proper underwriting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carefully evaluating the terms and conditions of our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geographic diversification;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ceding insurance risk to reinsurance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there are inherent limitations in all of these tactics. No assurance can be given that an event or series of unanticipated events will not result in loss levels which could have a material adverse effect on our business, results of operations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acquisitions may be difficult to integrate, divert management resources, result in unanticipated costs or dilute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 of our continuing business strategy is to make acquisitions of, or investments in, companies, products or technologies that complement our current products, enhance our market coverage, technical capabilities or production capacity or offer growth opportunities. Acquisitions could pose numerous risks to our operations,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difficulty integrating the acquired operations, products, technologies or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substantial unanticipated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assimilating the acquired businesses may divert significant management attention and financial resources from our other operations and could disrupt our ongoing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acquisitions could result in the loss of key employees, particularly those of the acquired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difficulty retaining or developing the acquired businesses’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acquisitions could adversely affect our existing business relationships with suppliers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realize the potential cost savings or other financial benefits and/or the strategic benefits of the acquisitions;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liabilities from the acquired businesses for infringement, misappropriation or other violation of intellectual property rights or other claims, and we may not be successful in seeking indemnification for such liabilities or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these acquisitions or investments, we could incur debt, amortization expenses related to intangible assets, large and immediate write-offs, assume liabilities or issue stock that would dilute our current stockholders’ percentage of ownership. We may not be able to complete acquisitions or integrate the operations, products, technologies or personnel gained through any such acquisition without a material adverse effect on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accounting practices and future pronouncements may materially affect our reported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predicted but may affect the calculation of net income, shareholders’ equity and other relevant financial statement line items.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insurance subsidiary is required to comply with statutory accounting principles (“SAP”). SAP and various components of SAP are subject to constant review by the NAIC and its task forces and committees, as well as state insurance departments,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effort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independent agents to write voluntary insurance policies, and our revenue could be impacted by our ability to attract and retain independent agents.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must compete with other insurers for independent agents’ business. Our competitors may offer a greater variety of insurance products, lower premiums for insurance coverage, or higher commissions to their agents. If our products, pricing and commissions do not remain competitive, we may find it more difficult to attract business from independent agents to sell our products. A material reduction in the amount of our products that independent agents sell could negatively affect our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greater than anticipated tax liabilities, and any successful action by federal or state authorities to collect additional taxes could adversely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believe our tax estimates are reasonable, federal or state taxing authorities may challenge our tax positions upon audit or other proceeding with any governmental entity with respect to any taxes or tax returns. The final determination of any tax audit and any related litigation, proceeding, examination or investigation could be materially different from our historical tax provisions and accruals, and any successful action by federal or state authorities to impose or collect additional taxes, either retroactively, prospectively or both, could harm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adversely impacted by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like those of other insurers, are susceptible to the effects of both economic and social inflation because premiums are established before the ultimate amounts of losses and loss adjustment expenses are known. Although we consider the potential effects of inflation when setting premium rates, our premiums may not fully offset the effects of inflation and may result in underpricing the risks we insure and reinsure. Our reserve for losses and loss adjustment expenses includes assumptions about future payments for settlement of claims and claims-handling expenses, such as the value of replacing property and associated labor costs for the property business we write and litigation costs. To the extent inflation causes costs to increase above reserves established for claims, we will be required to increase our loss reserves with a corresponding reduction in our net income in the period in which the deficiency is identified, which may have a material adverse effect on our business, results of operations or financial condition. Unanticipated higher inflation could also lead to higher interest rates, which would negatively impact the value of our fixed income securities and potentially other investments.</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Risks Relating to Our Intellectual Property and Data Privacy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cybersecurity risks, including cyber-attacks, security incidents or real or perceived errors, failures or bugs in our systems or website or our service providers’ systems, which could impair our operations, result in loss of personal customer information, damage our reputation and brand and harm our business, results of operations and financial condition.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Our business operations and customer interactions heavily depend on the continuous, reliable, and secure performance of our proprietary technology systems, website, applications, and software, which must evolve to meet changing customer needs. We rely on our internal technology and engineering teams, as well as third-party vendors and service providers, to develop, implement, maintain, and update these systems efficiently and securely. Despite our efforts, our systems are vulnerable to material errors, bugs, failures, vulnerabilities, or disruptions, particularly during the introduction of new features. These systems are also subject to a wide range of cybersecurity threats, including computer viruses, malware, ransomware, denial-of-service attacks, phishing, social engineering, credential stuffing, unauthorized access attempts, and other sophisticated attacks that may originate from criminal organizations, hacktivists, nation-state actors, or other sources. Techniques used in such attacks evolve rapidly, are often difficult to detect in advance, and may not be fully mitigated by our preventive measures, encryption, authentication technologies, employee training, or security protocols. Any successful or attempted breach, data leakage, system interruption, or compromise could result in the unauthorized access, disclosure, acquisition, alteration, or loss of confidential information, including personal data of customers such as names, addresses, phone numbers, payment information, or insurance quotes, as well as proprietary business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Such incidents, whether originating from our systems or those of third-party service providers on which we rely, could cause prolonged website outages, delays in policy issuance, claims processing, customer service, or payments, loss of critical data, or reputational damage that erodes customer trust and leads to reduced website usage, policy non-renewals, or loss of new business. Cybersecurity breaches or system failures could also expose us to significant legal and regulatory risks, including litigation from affected customers or third parties, governmental investigations, enforcement actions, fines, penalties, compliance orders, and substantial remediation costs. Even perceived vulnerabilities, such as those highlighted by breaches at competitors or other companies, could deter potential customers from engaging with our digital platform. In addition, our critical business functions depend on uninterrupted access to internal systems and interfaces with third-party providers; disruptions from network failures, telecommunications outages, system malfunctions, natural disasters, epidemics, war, or vendor service interruptions could impair our ability to underwrite and process policies, resolve claims timely, or perform other essential operations. If alternate systems or vendors are not immediately available, sustained or repeated disruptions could materially and adversely affect our ability to conduct business, damage our brand and customer goodwill, and have a material adverse effect on our business, results of operations, and financial condition.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collect, process, store, share, disclose and use information, including confidential information and personal data. Our actual or perceived failure to protect such data, respect customers’ privacy or comply with data privacy and security laws and regulations could negatively impact the business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We collect, process, store, share, disclose, and use significant amounts of confidential information and personal data in connection with our insurance operations, including data related to employees, contractors, business partners, and current, former, or prospective customers. Our technology platform facilitates the storage and transmission of this information, and we depend on numerous third-party service providers, lead generation partners, and other vendors that process personal data on our behalf, supply us with data, or collaborate in our business activities. Although we conduct security assessments, due diligence, and enter into contractual arrangements requiring these third parties to process data only in accordance with our instructions and to maintain appropriate technical and organizational security measures, there is no assurance that these efforts, or our own data privacy and security safeguards, will fully protect personal data from unauthorized access, breaches, misuse, or other risks associated with third-party involvement. Any actual or perceived failure by us or our third parties to adequately protect data could result in unauthorized disclosure, loss, or compromise of personal information, leading to governmental investigations, enforcement actions, litigation, fines, penalties, reputational harm, loss of customer trust, and material adverse effects on our business, results of operations, and financial condition.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subject to a complex and evolving landscape of federal, state, and industry-specific laws and regulations governing the collection, processing, disclosure, security, and use of personal data and other information, including the Gramm-Leach-Bliley Act, the Federal Trade Commission Act, the Telephone Consumer Protection Act, the California Consumer Privacy Act as amended by the California Privacy Rights Act, and similar comprehensive privacy laws enacted or pending in numerous states such as Virginia, Colorado, Connecticut, Utah, Iowa, Indiana, Tennessee, Montana, Delaware, Oregon, Texas, and Florida. These laws impose obligations such as providing consumer rights to access, delete, correct, or opt out of certain uses and sharing of personal information, conducting risk assessments and cybersecurity audits, implementing data minimization and retention practices, and notifying affected individuals and regulators of data breaches. Certain exemptions may apply to information processed under specific insurance-related statutes, but broad definitions of personal information could encompass additional data we maintain. Rapidly changing state requirements, potential enactment of comprehensive federal privacy legislation, and overlapping or conflicting obligations create compliance complexity, increase operational costs, restrict data availability for marketing and underwriting, and may necessitate significant investments in systems, policies, and personnel. In the event of a data breach or perceived noncompliance with these laws, our privacy policies, contractual obligations to third parties, or industry-specific regulations overseen by bodies such as the Florida Office of Insurance Regulation, we could face heightened regulatory scrutiny, enforcement actions, substantial fines and penalties, private litigation including class actions, mandatory corrective measures, and damage to our brand and customer relationships. Any such events, or even the costs and disruptions associated with ongoing compliance efforts, could materially and adversely affect our business, results of operations, and financial condition. </w:t>
      </w:r>
    </w:p>
    <w:p>
      <w:pPr>
        <w:pStyle w:val="TextBody"/>
        <w:bidi w:val="0"/>
        <w:jc w:val="left"/>
        <w:rPr>
          <w:rFonts w:ascii="Times New Roman" w:hAnsi="Times New Roman"/>
          <w:b/>
          <w:i/>
          <w:color w:val="000000"/>
          <w:sz w:val="20"/>
        </w:rPr>
      </w:pPr>
      <w:r>
        <w:rPr>
          <w:rFonts w:ascii="Times New Roman" w:hAnsi="Times New Roman"/>
          <w:b/>
          <w:i/>
          <w:color w:val="000000"/>
          <w:sz w:val="20"/>
        </w:rPr>
        <w:t>We rely on data from our customers and third parties for pricing and underwriting insurance policies, handling claims and maximizing automation, the unavailability or inaccuracy of which could limit the functionality of our products and disrupt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data, technology and intellectual property licensed from unaffiliated third parties in certain products, including, for example, proprietary information that we license from LexisNexis Risk Solutions, Inc. (“LexisNexis”) and Verisk Analytics, Inc. (“Verisk”),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LexisNexis or Verisk refuse to license their proprietary information to us on the same terms that it offers to our competitors, we could be placed at a significant competitive disadvantage.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although we believe that there are currently adequate replacements for the third-party technology and intellectual property we presently use other than proprietary information provided by LexisNexis or Verisk, the loss of our right to use any of this technology and intellectual property could result in delays in producing or delivering affected products until equivalent technology or intellectual property is identified, licensed or otherwise procured, and integrated. Our business would be disrupted if any technology and intellectual property we license from others or functional equivalents of this software were either no longer available to us or no longer offered to us on commercially reasonable terms. In either case, we would be required either to attempt to redesign our products to function with technology and intellectual property available from other parties or to develop these components ourselves, which would result in increased costs and could result in delays in product sales and the release of new product offerings. Alternatively, we might be forced to limit the features available in affected products. Any of these results could harm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apply technology effectively in driving value for our clients through technology-based solutions or gain internal efficiencies and effective internal controls through the application of technology and related tools, our operating results, client relationships, growth and compliance programs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may depend, in part, on our ability to anticipate and respond effectively to the threat of digital disruption and other technology change. We must also develop and implement technology solutions and technical expertise among our employees that anticipate and keep pace with rapid and continuing changes in technology, industry standards, client preferences and internal control standards. We may not be successful in anticipating or responding to these developments on a timely and cost-effective basis, and our ideas may not be accepted in the marketplace. Additionally, the effort to gain technological expertise and develop new technologies in our business requires us to incur significant expenses. If we cannot offer new technologies as quickly as our competitors, or if our competitors develop more cost-effective technologies or product offerings, we could experience a material adverse effect on our operating results, client relationships, growth and compliance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we depend, in part, on key vendors and partners to provide technology and other support for our strategic initiatives. If these third parties fail to perform their obligations or cease to work with us, our ability to execute on our strategic initiatives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use of artificial intelligence, machine learning, data analytics and other similar tools may adversely impact our business and subject us to additional regulatory and other risks and possible litigation, including claims alleging unfair insuring practices arising from the use of such tools.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utilize artificial intelligence, machine learning, data analytics and similar tools that collect, aggregate and analyze data, in connection with our business. The introduction of artificial intelligence tools into new or existing products may enhance or create legal, operational, regulatory and technological and related contractual risks, as the technologies underlying such tools and their use cases are subject to a variety of laws, regulations, orders and industry standards, including intellectual property, privacy, data protection and cybersecurity, consumer protection, competition, equal protection and equal opportunity laws. Regulation of artificial intelligence and machine learning is complex and rapidly evolving worldwide as legislators, regulators, including the Securities and Exchange Commission (the “SEC”) and the FTC and consumer advocacy groups are increasingly focusing on these powerful emerging technologies. The laws and regulations applicable to our business and artificial intelligence are complex and subject to varying interpretations, with limited regulatory guidance at this time. It is not possible to predict all of the risks related to the use of artificial intelligence, and changes in laws, rules, directives and regulations governing artificial intelligence may adversely affect our ability to develop and use artificial intelligence or subject us to legal liability. Moreover, any changes in laws, regulations, orders and industry standards governing the use of artificial intelligence may be costly or impossible to comply with, and may result in claims, disputes, litigation or costs associated with any compliance failure or redesign of our platform or services to comply with such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significant risks involved in utilizing such tools, such as an increase in intellectual property infringement or misappropriation, data privacy, cybersecurity, operational and technological risks, harmful content, accuracy, bias, toxicity and discrimination, any of which could affect our further development, adoption and use of artificial intelligence, and may cause us to incur additional research and development costs to resolve such issues. No assurance can be provided that the usage of such tools will enhance our business or assist our business in being more efficient, or better at assessing insuring risk or profitability. Artificial intelligence tools may also have errors or inadequacies that are not easily detectable. For example, certain artificial intelligence tools may utilize historical performance, historical market or sector data in their analytics. To the extent that such historical data is not indicative of current or future conditions in the applicable market or sector, or such artificial intelligence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fails to filter biases in the underlying data or collection methods, the usage of such tools may lead us to make determinations on behalf of our business that have an adverse effect. If artificial intelligence tools are incorrectly designed, or the data used to train them is incomplete, inadequate or biased in some way, our use of such tools may inadvertently reduce our efficiency or cause unintentional or unexpected outputs that are incorrect, do not match our business goals, do not comply with our policies or interfere with the performance of our services or platform, our business and our reputation. Additionally, our reliance on artificial intelligence and similar tools could pose ethical concerns, which could have negative implications for our organization. Any of the foregoing could adversely affect our ability to utilize artificial intelligence as part of our business, which in turn may adversely affect our operational capacity and ability to attract and maintain consumers.</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Risks Relating to the Insurance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insurance business, including the market for homeowners and commercial residential insurance, is historically cyclical in nature, currently experiencing high demand and low supply, and we may experience periods with excess underwriting capacity and unfavorable premium rates,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insurers have experienced significant fluctuations in operating results due to competition, frequency and severity of catastrophic events, levels of capacity, adverse litigation trends, regulatory constraints, volatility in investment results,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as well as periods when shortages of capacity increased premium levels. Currently, we believe the market for homeowners and commercial residential insurance is experiencing high demand and low supply, partially as a result of recent regulatory developments in the Florida homeowners and commercial residential insurance market, which has resulted in restricted capital and restricted capacity in the market. Demand for insurance depends on numerous factors, including, but not limited to, the frequency and severity of catastrophic events, levels of capacity, the introduction of new capital providers and general economic conditions. All of these factors fluctuate and may contribute to price declines generally in the insurance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with certainty whether market conditions will improve, remain constant or deteriorate. Negative market conditions may impair our ability to underwrite insurance at rates we consider appropriate and commensurate relative to the risk assumed. Additionally, negative market conditions could result in a decline in policies sold, an increase in the frequency of claims and premium defaults and an uptick in the frequency of falsification of claims. If we cannot underwrite insurance at appropriate rates, our ability to transact business will be materially and adversely affected. Any of these factors could lead to an adverse effect on our business, results of operations and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undertake strategic initiatives to innovate within the competitive, regulatory and legal environments of the insurance industry and our innovations may entail a degree of risk, may not ultimately achieve anticipated business goals, or may be subject to challenge by regulators or private litigants.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insurance subsidiaries operate in a highly regulated environment, subject to comprehensive supervision and regulation by insurance departments in multiple states and jurisdictions, each with its own complex and evolving set of laws and regulations. Federal laws also impose additional requirements in areas such as the use of credit information, consumer privacy, and reimbursement of certain government-incurred medical costs. These regulatory frameworks restrict or require prior approval for numerous aspects of our operations, including underwriting and pricing risks, implementing rate adjustments, discontinuing unprofitable lines or exiting markets, terminating policies, and managing investment portfolios. Changes in laws, regulations, or judicial interpretations, as well as inconsistencies between state and federal requirements, can further complicate compliance, delay necessary regulatory approvals, increase operational costs, and limit our ability to respond timely to changing loss trends, market conditions, or competitive pressures. In addition, certain jurisdictions require insurers to pay assessments to cover claims arising from the insolvency of other carriers or to support government-mandated high-risk insurance programs, which can impose substantial and unpredictable financial burdens. These regulatory constraints and compliance costs may materially and adversely affect our profitability, growth prospects, ability to innovate, and overall financial condition.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Failure or alleged failure to comply with applicable insurance, privacy, consumer protection, or other laws and regulations could result in regulatory investigations, enforcement actions, fines, penalties, monetary settlements, revocation of licenses to operate in one or more jurisdictions, adverse publicity, reputational harm, and loss of market confidence. We may also face individual or class action litigation from policyholders or other parties alleging violations of these laws. Future adoption of new or amended federal or state legislation or regulations could impose additional restrictions, increase compliance burdens, raise operating expenses, or otherwise materially and adversely affect our ability to underwrite business profitably, expand into new markets, or maintain existing operations in one or more jurisdictions. Any such developments could have a material adverse effect on our business, results of operations, and financial condition.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operate in a highly regulated environment and are subject to a variety of complex federal and state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each state regulator retains the authority to license insurers within its state, and an insurer generally may not operate in a state in which it is not licensed. Accordingly, we are not permitted to sell insurance to residents of the states and territories of the United States in which we do not currently possess a license, which is likely to put us at a disadvantage among many of our competitors that have been in business much longer than us and are licensed to sell their insurance products in most, if not all, U.S.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company subsidiary, Slide Insurance Company, is subject to extensive regulation and supervision in Florida, its state of domicile, and in the states in which it transacts business, principally by the individual state insurance departments. Such regulation and supervision are generally designed to protect the interests of policyholders, and not necessarily the interests of insurers or agents, their stockholders or other investors. Numerous aspects of our insurance business are subject to regulation, including, but not limited to, premium rates, mandatory covered risks, limitations on the ability to renew or elect not to renew business, prohibited exclusions, licensing and appointment of agents, restrictions on the size of risks that may be insured under a single policy, reserves and provisions for unearned premiums, losses and other obligations, deposits of securities for the benefit of customers, investments, capital and surplus requirements, dividend limits, affiliate transactions, policy forms and coverages, advertising and other conduct, including restrictions on the use of credit information and other factors in underwriting, as well as other underwriting and claims practices. To the extent we decide to expand our current product offerings to include other insurance products, such as auto or life insurance, this would subject us to additional regulatory requirements and scrutiny in each state in which we elect to offer such products. States have also adopted legislation defining and prohibiting unfair methods of competition and unfair or deceptive acts and practices in the business of insurance. Prohibited practices include, but are not limited to, misrepresentations, false advertising, coercion, disparaging other insurers, unfair claims settlement procedures and discrimination in the business of insurance. Noncompliance with any of such state statute may subject us to regulatory action by the relevant state insurance regulator, and, in certain states, private litigation. States also regulate various aspects of the contractual relationships between insurers and independent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laws, rules and regulations are usually overseen and enforced by the various state insurance departments, as well as through private rights of action and by state attorneys general. Such regulations or enforcement actions are often responsive to current consumer and political sensitivities, such as homeowners and commercial residential insurance rates and coverage forms, or which may arise after a major event. Such rules and regulations may result in rate suppression, limit our ability to manage our exposure to unprofitable or volatile risks, or lead to fines, premium refunds or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federal government also may regulate aspects of our businesses, such as the protection of consumer confidential information or the use of consumer insurance (credit) scores to underwrite and assess the risk of customers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Credit Reporting Act (“FCRA”). Among other things, the FCRA requires insurance companies to have a permissible purpose before obtaining and using a consumer report for underwriting purposes, as well as comply with related notice and recordkeeping requirements. Failure to comply with federal requirements under the FCRA or any other applicable federal laws would subject us to regulatory fines and other sanctions. In addition, given our short operating history to date and rapid speed of growth, we are particularly vulnerable to state insurance regulators identifying errors in the policy forms we use, the rates we charge and our customer communications. As a result of such noncompliance, regulators could impose fines, rebates or other penalties, including cease-and-desist orders for an individual state, or all states, until the identified noncompliance is rectified. The FLOIR, the insurance regulatory authority for insurance carriers in the State of Florida, conducts examinations on a periodic basis and may conduct special or targeted examinations to address particular concerns or issues at any time. Insurance regulators of other states in which we are licensed to sell insurance as an agent may also conduct examinations. The results of these examinations can give rise to regulatory orders requiring remedial, injunctive or other corrective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retain state licenses depends on our ability to meet licensing requirements adopted by each state, subject to variations across states. If we are unable to satisfy the applicable licensing requirements of any particular state, we could lose our license to do business in such state, which would result in the temporary or permanent cessation of our operations in that state. Alternatively, if we are unable to satisfy applicable state licensing requirements, we may be subject to additional regulatory oversight, have our license suspended or be subject to seizure of assets. Any such events could adversely affect our business, results of operations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a condition to writing business in certain states, insurers are required to participate in various pools or risk sharing mechanisms or to accept certain classes of risk, regardless of whether such risks meet their underwriting requirements for voluntary business. Some states limit or impose significant restrictions on an insurer’s ability to materially reduce its exposures or to withdraw from certain lines of business. The state insurance departments can impose significant charges on an insurer in connection with a market withdrawal or refuse to approve withdrawal plans on the grounds that they could lead to market disruption. Laws and regulations that limit cancellation and non-renewal of policies or that subject withdrawal plans to prior approval requirements may significantly restrict our ability to exit unprofitable markets. Such actions and related regulatory restrictions may limit our ability to reduce our potential exposure to hurricane-related losses.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State insurance regulators impose additional reporting requirements regarding enterprise risk on insurance holding company systems, with which we must comply as an insurance holding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decade, various state insurance regulators have increased their focus on risks within an insurer’s holding company system that may pose enterprise risk to the insurer. In 2012, the NAIC adopted significant changes to the insurance holding company act and regulations (the “NAIC Amendments”). The NAIC Amendments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requiring a controlling person to submit prior notice to its domiciliary insurance regulator of a divestiture of control, having detailed minimum requirements for cost sharing and management agreements between an insurer and its affiliates and expanding of the agreements between an insurer and its affiliates to be filed with its domiciliary insurance regulator. The NAIC Amendments must be adopted by the individual state legislatures and insurance regulators in order to be effective. Florida, our main domiciliary state for SIC, includes a form of the enterprise risk report requirement pursuant to Section 628.801 of the Florida Insurance Code.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2012, the NAIC also adopted the Risk Management and Own Risk and Solvency Assessment Model Act (the “ORSA Model Act”). The ORSA Model Act, when adopted by the various states, will require an insurance holding company system’s Chief Risk Officer to submit annually to its lead state insurance regulator an Own Risk and Solvency Assessment Summary Report (“ORSA”). The ORSA is a confidential internal assessment appropriate to the nature, scale and complexity of an insurer, conducted by that insurer of the material and relevant risks identified by the insurer associated with an insurer’s current business plan and the sufficiency of capital resources to support those risks. The ORSA Model Act must be adopted by the individual state legislature and insurance regulators in order to be effective. There is also risk that insurance holding company systems may become subject to group capital requirements at the holding company level. The NAIC is currently working to develop a group capital calculation framework that regulators may use for informational purposes. As envisioned, the framework is intended to complement the current holding company analytics framework by providing additional information to the lead state regulator for use in assessing group risks and capital adequacy. We cannot predict the impact, if any, that the NAIC Amendments, compliance with the ORSA Model Act, or any other regulatory requirements may have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adoption by states and the SEC of cybersecurity regulations could impose additional compliance burdens on us and expose us to additional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response to the growing threat of cyber-attacks in the insurance industry, certain jurisdictions have begun to consider new cybersecurity measures, including the adoption of cybersecurity regulations.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Alabama, Connecticut, Delaware, Indiana, Louisiana, Maryland, Michigan, Mississippi, New Hampshire, Ohio, South Carolina and Virginia have adopted versions of the NAIC Insurance Data Security Model Law, each with a different effective date, and other states may adopt versions of the NAIC Insurance Data Security Model Law in the future. Further, on July 26, 2023, the SEC adopted rules requiring registrants to disclose material cybersecurity incidents they experience and to disclose on an annual basis material information regarding their cybersecurity risk management, strategy and governance. Although we take steps to comply with financial industry cybersecurity regulations and believe we are materially compliant with their requirements, our failure to comply with new or existing cybersecurity regulations could result in regulatory actions and other penalties. In addition, efforts to comply with new or existing cybersecurity regulations could impose significant costs on our business, which could materially and adversely affect our business, results of operations or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Severe weather events and other catastrophes, including the effects of climate change and global pandemics, are inherently unpredictable and may have a material adverse effect on our financial results and financial condition.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homeowners and commercial residential insurance business is subject to significant risks from severe weather events and other catastrophes, including but not limited to winter storms, hail, high winds, thunderstorms, wildfires, tornadoes, hurricanes, tropical storms, earthquakes, tsunamis, fires, explosions, riots, terrorism, or war. The incidence, timing, location, and severity of these events are inherently unpredictable, and the occurrence of one event does not affect the likelihood or magnitude of another. Losses from such catastrophes depend on the concentration of our insured exposure in the affected areas and the intensity of the event, which can lead to a sudden and substantial increase in claims volume, heightened loss adjustment expenses, and potential legal or regulatory changes that restrict our ability to limit liability under policy terms. These events could cause material increases in our incurred losses, reduce our liquidity, deplete our capital reserves, and impair our ability to underwrite new policies or maintain existing business, potentially resulting in a material adverse effect on our business, results of operations, and financial condition.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mitigate catastrophe exposure through reinsurance arrangements, including traditional excess of loss treaties and multi-year coverage accessed via catastrophe bonds issued in the capital markets. However, reinsurance may not be available in sufficient amounts or at reasonable rates to fully protect against severe events such as hurricanes, and we may not secure adequate coverage in the future. Even with reinsurance from counterparties we consider creditworthy, reinsurers could become unable or unwilling to meet their obligations due to financial impairment or other factors, leaving us exposed to greater net retained losses. Additionally, climate change may increase the frequency or severity of certain natural perils, such as more intense hurricanes from higher sea surface temperatures, heightened thunderstorm and hail activity, expanded wildfire risks, or more frequent deluge flooding, while also potentially affecting demand for insurance, reinsurance availability and pricing, and the value of our investment portfolio. The significant uncertainty surrounding future climate conditions makes it difficult to predict or quantify these impacts, which could materially and adversely affect our underwriting profitability, reinsurance costs, overall financial performance, and ability to operate effectively in affected geographies.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results of operations and financial condition may be adversely affected due to limitations in the analytical models used to assess and predict our exposure to catastrophe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Along with others in the insurance industry, models developed internally and by third-party vendors that employ various modeling techniques, including Stochastic, Bayesian statistics, classification, regression, clustering and other advanced machine learning techniques, are used along with our own historical data in assessing property insurance exposure to catastrophe losses. These models assume various conditions and probability scenarios; however, they do not necessarily accurately predict future losses or measure losses currently incurred. As with many technological innovations, artificial intelligence and machine learning present risks and challenges that could affect their adoption, and therefore our business. Further, the accuracy of such models may be negatively impacted by changing climate conditions. Catastrophe models use historical information and scientific research about natural events, such as hurricanes and earthquakes, as well as detailed information about our in-force business. This information is used in connection with pricing and risk management activities. However, since actual catastrophic events vary considerably, there are limitations with respect to its usefulness in predicting losses in any reporting period. Other limitations are evident in significant variations in estimates between models, material increases and decreases in results due to model changes and refinements of the underlying data elements and actual conditions that are not yet well understood or may not be properly incorporated into the models. Additionally, there are significant risks involved in developing and deploying artificial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intelligence, such as an increase in intellectual property infringement or misappropriation, data privacy, cybersecurity, operational and technological risks, harmful content, accuracy, bias, toxicity and discrimination, any of which could affect our further development, adoption and use of artificial intelligence, and may cause us to incur additional research and development costs to resolve such issues. It is not possible to predict all of the risks related to the use of artificial intelligence, and changes in laws, rules, directives and regulations governing artificial intelligence may adversely affect our ability to develop and use artificial intelligence or subject us to legal liability.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SIC and SSIC are subject to minimum capital and surplus requirements, and failure to meet these requirements could subject us to regulatory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SIC and SSIC are subject to risk-based capital standards and other minimum capital and surplus requirements. The risk-based capital standards, based upon the Risk Based Capital Model Act developed by the NAIC and adopted in all states, including SIC and SSIC’s state of domicile, require SIC and SSIC to report results of risk-based capital calculations to its domestic regulator. These risk-based capital standards provide for different levels of regulatory attention depending upon the ratio of an insurance company’s total adjusted capital, as calculated in accordance with the NAIC’s RBC formula, to its authorized control level risk-based capital. Authorized control level risk-based capital is determined using the NAIC’s risk-based capital formula, which measures the minimum amount of capital that an insurance company needs to support its overall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insurance company with total adjusted capital that is less than 200% of its authorized control level risk- based capital is at a company action 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The lower the percentage, the more severe the regulatory response, including, in the event of a mandatory control level event (total adjusted capital falls below 70% of the insurer’s authorized control level risk-based capital), placing the insurance company into receivership. As of December 31, 2025, SIC and SSIC's risk-based capital ratio was well in excess of minimum statutory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SIC and SSIC are required to maintain a certain minimum capital and surplus and generally must keep its net written premiums within specified multiples of its surplus that regulators customarily view as prudent. SIC and SSIC could exceed these ratios if its volume increases faster than anticipated or if its surplus declines due to catastrophe or non-catastrophe losses or excessive underwriting and operational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by SIC and SSIC to meet the applicable risk based capital or minimum statutory capital requirements or the writings ratio limitations regulators customarily use where we currently or may in the future conduct business could subject us to further examination or corrective action imposed by state regulators, including limitations on our writing of additional business, state supervision or liquidation.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changes in existing risk-based capital requirements, minimum statutory capital requirements or customary writings ratios may require us to increase our statutory capital levels, which we may be unable to do.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SIC is subject to assessments and other surcharges from state guaranty funds, and mandatory state insurance facilities, which may reduce our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insurance laws of many states subject property and casualty insurers doing business in those states to statutory property and casualty guaranty fund assessments. The purpose of a guaranty fund is to protect customers by requiring that solvent property and casualty insurers pay the insurance claims of insolvent insurers. These guaranty associations, including the Florida Insurance Guaranty Association, generally pay these claims by assessing solvent insurers proportionately based on each insurer’s share of voluntary premiums written in the state. While most guaranty associations provide for recovery of assessments through subsequent rate increases, surcharges or premium tax credits, there is no assurance that insurers will ultimately recover these assessments, which could be material, particularly following a large catastrophe or in markets which become disrupted.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Maximum contributions required by law in any one year vary by state. We cannot predict with certainty the amount of future assessments because they depend on factors outside our control, such as insolvencies of other insurance companies. Significant assessments could have a material adverse effect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Unexpected changes in the interpretation of our coverage or provisions in our policies, including loss limitations and exclusions, could have a material adverse effect on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customer may bring a claim, which may be shorter than the statutory period under which such claims can be brought against our customers.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higher-than-anticipated loss and loss adjustment expense,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 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vigorous competition from large, well-capitalized national companies and smaller regional insurers. Other large national and international insurance or financial services companies also may enter these markets in the future. Many of these companies may have greater financial, marketing and management resources than we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write coastal specialty personal lines insurance including homeowners, condominium unit owners, commercial residential, and other products. The coastal specialty insurance market is highly competitive. We face vigorous competition from large, well-capitalized national and international companies, as well as smaller regional insurers. Other large insurance or financial services companies also may enter these markets in the future. Many of these companies have substantial resources, experienced management and strong marketing, underwriting and pricing capabilities. The property and casualty insurance industry is a relatively mature industry, in which brand recognition, marketing skills, operational effectiveness, pricing, scale and cost control are major competitive factors. If our competitors offer similar insurance products at lower prices, offer such insurance products bundled with other products or services that we do not offer, or engage in other successful competitive initiatives, our ability to generate new business or to retain a sufficient number of our existing customers could be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insurance markets historically have been known as cyclical, with periods of relatively strong profitability being followed by increased pricing competition among insurers. This price competition, which is sometimes referred to as a “soft market,” can adversely affect revenue and profitability levels. As insurers recognize this situation (which can occur at different times for different companies), the historical reaction has been for insurers to raise their rates (sometimes referred to as a “hard market”) in an attempt to restore profitability to acceptable levels. As more insurers react in this way, profit levels in the industry may increase to a point where some insurers begin to lower their rates, starting the cycle over again. In the past, this cycle has generally played out over a number of years. We cannot be certain whether and to what extent such cyclicality is currently impacting the property insurance markets, nor can we predict whether it will do so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highly competitive nature of the insurance marketplace could result in consolidation within the industry, or in the failure of one or more competitors. The concentration of premium volume in a reduced number of major competitors could significantly increase the level of competition in a manner that is not favorable to us. In addition, in the event of a failure of a major insurer or a state-sponsored catastrophe fund, our company and other insurance companies may be required by law to absorb the losses of the failed insurer or fund, resulting in a potentially significant increase in our costs. We might also be faced with an unexpected surge in new business from a failed insurer’s former policyholders. Such events could materially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Industry trends, such as increased litigation against the insurance industry and individual insurers, the willingness of courts to expand covered causes of loss, rising jury awards and the escalation of loss severity may contribute to increased costs and to the deterioration of the reserves of our insurance subsidiary.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severity in the property and casualty insurance industry has continued to increase in recent years, principally driven by larger court judgments. In addition, many legal actions and proceedings have been brought on behalf of classes of complainants, which can increase the size of judgments. The propensity of policyholders and third-party claimants to litigate and the willingness of courts to expand causes of loss and the size of awards may render the loss reserves of our insurance subsidiary inadequate for current and future losses.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Risks Relating to Regulatory and Legal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additional regulation imposed by consent orders entered into with the FLOIR in connection with our 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compliance with statutes and regulations, Florida routinely places additional restrictions on new insurers as a condition of receiving their certificate of authority. These restrictions are typically memorialized in a consent order entered into between FLOIR and the insurer applying for a certificate of authority. We were subject to such a consent order in which we agreed to higher or more stringent restrictions than are otherwise required under Florida law. The material restrictions we agreed to included: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Florida law requires a residential property writer to maintain surplus of the greater of $15.0 million or 10% of its liabilities. Pursuant to the consent order, we agreed to establish a minimum capital and surplus of 300% of our authorized control level risk-based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Florida law restricts the ratio of premiums written to policyholder surplus to 10 to 1 on a gross basis and 4 to 1 on a net of reinsurance basis. Pursuant to the consent order, we agreed to not exceed the projected premiums in the plan of operation submitted with our original application for licensure without the prior written approval of FLOIR. As part of the FLOIR approval process for the various Citizens assumption transactions in which we have participated, we received approval to exceed these projected premiums.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Florida law places no restrictions on the parent of an insurer, or other upstream entities, with regard to the payment of dividends. Pursuant to the consent order, we agreed to not make any distributions to stockholders prior to January 7,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Florida law allows an insurer to pay certain dividends to stockholders without approval of FLOIR. Pursuant to the consent order, we agreed that, until January 7, 2025, we would pay only those dividends that had been approved in advance and in writing by FLOIR.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subject to several consent orders setting conditions upon FLOIR’s approval of the various Citizens assumption transactions in which we have participated. For example, beginning with our August 2023 assumption transaction, we are required to offer to renew each assumed policy for a minimum of three years provided the policies satisfy our underwriting guidelines. If we violate a consent order, FLOIR may take administrative action as it deems appropriate, including suspending or revoking our insurance license.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regulation may reduce our profitability and limit our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extensive regulation in Florida and South Carolina, the only states in which we currently conduct business. The NAIC and state insurance regulators are constantly reexamining existing laws and regulations, generally focusing on modifications to holding company regulations, interpretations of existing laws and the development of new laws. From time to time, states consider and/or enact laws that may alter or increase state authority to regulate insurance companies and insurance holding companies. States also consider and/or enact laws that impact the competitive environment and marketplace for property and casualty insurance. Our insurance company subsidiary currently transacts insurance only in Florida and South Carolina, where the recent political environment has led to aggressive regulation of property and casualty insurance companies. We expect this to continue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past several years, various regulatory and legislative bodies have adopted or proposed new laws or regulations to address the cyclical nature of the insurance industry, catastrophic events and insurance capacity and pricing. These regulations include (i) the creation of “market assistance plans” under which insurers are induced to provide certain coverages, (ii) restrictions on the ability of insurers to rescind or otherwise cancel certain policies in mid-term or to non-renew policies at their scheduled expirations, (iii) advance notice requirements or limitations imposed for certain policy non-renewals, (iv) limitations upon or decreases in rates permitted to be charged, (v) expansion of governmental involvement in the insurance market and (vi) increased regulation of insurers’ policy administration and claims handling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the federal government does not directly regulate the insurance business. However, in recent years the state insurance regulatory framework has come under increased federal scrutiny. Congress and some federal agencies from time to time investigate the current condition of insurance regulation in the United States to determine whether to impose federal regulation or to allow an optional federal charter, similar to banks. In addition, changes in federal legislation and administrative policies in several areas, including changes in the Gramm-Leach-Bliley Act, financial services regulation and federal taxation, can significantly impact the insurance industry and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with certainty the effect any enacted, proposed or future state or federal legislation or NAIC initiatives may have on the conduct of our business. Furthermore, there can be no assurance that the regulatory requirements applicable to our business will not become more stringent in the future or result in materially higher costs than current requirements, or that creation of a federal insurance regulatory system will not adversely affect our business or disproportionately benefit our competitors. Changes in the regulation of our business may reduce our profitability, limit our growth or otherwise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Applicable insurance laws may make it difficult to effect a change of control of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insurance holding company laws require prior approval by the state insurance department of any change of control of an insurer that is domiciled in that respective state. “Control” is generally defined as the possession, direct or indirect, of the power to direct or cause the direction of the management and policies of a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Because we are domiciled in Florida, we are subject to Florida law, which prohibits any person from acquiring 5% or more of our outstanding voting securities without the prior approval of FLOIR. However, a party acquiring more than 5% but less than 10% of our voting securities that does not otherwise exercise control may make such acquisition without prior approval by filing a disclaimer of affiliation and control with FLOIR. These laws may discourage potential acquisition proposals and may delay, deter or prevent a change of control of us, including through transactions, and in particular unsolicited transactions, that some or all of our stockholders might consider to be desirable.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and future changes to tax laws or applicable tax rates in the jurisdictions where we operate could materially and adversely affect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taxation of our business is subject to the enactment of, or changes in, tax laws, regulations and treaties, or the interpretation thereof, tax policy initiatives and reforms under consideration and the practices of tax authorities in various jurisdictions. Existing, new or future changes in tax laws, regulations and treaties, or the interpretation thereof, could have an adverse effect on our tax liabilities, business, results of operations and financial condition. We are unable to predict changes in tax laws or applicable tax rates enacted in the future in jurisdictions where we have operations or what effect such changes would have on our business, but such changes could affect our future financial position and overall tax rates in the future or increase the complexity, burden and cost of tax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Applicable tax rates may be subject to significant change in the jurisdictions or future jurisdictions in which we operate. If our effective tax rate increases, our operating results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Risks Relating to Ownership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price of our common stock may fluctuate significantly,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in the market price of our common stock may prevent you from being able to sell your shares at or above the price you paid for them. The market price for our common stock could fluctuate significantly for various reasons,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and financial performance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or annual earnings or those of other companies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public’s reaction to our press releases, our other public announcements and our filings with the SEC;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or failure to meet, earnings estimates or recommendations by research analysts who track our common stock or the stock of other companies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research analysts to cover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actions by us, our customers or our competitors, such as acquisitions or restructurings;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standards, policies, guidance, interpretations or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litigation or government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conditions in the U.S. and global economies or financial markets, including those resulting from war, incidents of terrorism or responses to such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common stock by us, our principal stockholders or members of our management team;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granting or exercise of employee stock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volume of trading in our common stock;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impact of the facts described elsewhere in these “</w:t>
      </w:r>
      <w:r>
        <w:rPr>
          <w:rFonts w:ascii="Times New Roman" w:hAnsi="Times New Roman"/>
          <w:i/>
          <w:color w:val="000000"/>
          <w:sz w:val="20"/>
        </w:rPr>
        <w:t>Risk Factors.</w:t>
      </w: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recent years, the stock market has regularly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Hence, the price of our common stock could fluctuate based upon factors that have little or nothing to do with us and these fluctuations could materially reduce our share price.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 “emerging growth company” and we cannot be certain if the reduced disclosure and other requirements applicable to emerging growth companies will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qualify as an “emerging growth company,” as defined in the JOBS Act, and we intend to take advantage of certain exemptions from various reporting requirements that are applicable to other public companies that are not “emerging growth companies” including, but not limited to, (i) not being required to comply with the auditor attestation requirements of Section 404 of the Sarbanes-Oxley Act with respect to our internal control over financial reporting, (ii) reduced disclosure obligations regarding executive compensation in our periodic reports and proxy statements, and (iii) exemptions from the requirements of holding a nonbinding advisory vote on executive compensation and stockholder approval of any golden parachute payments not previously approved. We may take advantage of these provisions for up to five years or such earlier time that we are no longer an “emerging growth company.” We would cease to be an “emerging growth company” upon the earliest to occur of: (i) the last day of the fiscal year in which we have more than $1.235 billion (as adjusted for inflation pursuant to SEC rules from time to time) in annual revenues; (ii) the date we qualify as a “large accelerated filer,” with at least $700.0 million of equity securities; (iii) the issuance, in any three-year period, by our company of more than $1.0 billion in non-convertible debt securities held by non-affiliates; and (iv) the last day of the fiscal year ending after the fifth anniversary of our IPO. We may choose to take advantage of some but not all of these reduced reporting and other burdens. To the extent we take advantage of any of the reduced reporting burdens in this Report or in future filings, the information that we provide our security holders may be different than you might get from other public companies in which you hold equity interests.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have elected to use the extended transition period for complying with new or revised accounting standards for an “emerging growth company,” our combined financial statements may not be comparable to companies that currently comply with these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elected to use the extended transition period for complying with new or revised accounting standards under Section 7(a)(2)(B) of the Securities Act. This election allows us to delay the adoption of new or revised accounting standards that have different effective dates for public and private companies until those standards apply to private companies. As a result of this election, our combined financial statements may not be comparable to companies that comply with these accounting standards as of the public company effective dates. Consequently, our combined financial statements may not be comparable to companies that comply with public company effective dates. Because our combined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common stock. We cannot predict if investors will find our common stock less attractive because we plan to rely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this exemption. If some investors find our common stock less attractive as a result, there may be a less active trading market for our common stock and our stock price may be more volatile.</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implement and maintain effective internal controls over financial reporting in the future, investors may lose confidence in the accuracy and completeness of our financial reports and the market price of our common stock may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will be required to maintain internal controls over financial reporting and to report any material weaknesses in such internal controls.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Section 404 of the Sarbanes-Oxley Act of 2002 (the “Sarbanes-Oxley Act”) requires that we evaluate and determine the effectiveness of our internal controls over financial reporting and, beginning with our annual report for the fiscal year ending December 31, 2026, provide a management report on the internal controls over financial reporting. If we have a material weakness in our internal controls over financial reporting, we may not detect errors on a timely basis and our financial statements may be materially misstated. We are in the process of designing and implementing the internal controls over financial reporting required to comply with this obligation, a process which may be time-consuming, costly and complicated.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occurrence of any of the following may cause investors to lose confidence in the accuracy and completeness of our financial reports and could negatively impact the price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material weaknesses in our internal controls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comply with the requirements of Section 404 of the Sarbanes-Oxley Act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assert that our internal controls over financial reporting are effective;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firm’s inability to express an opinion as to the effectiveness of our internal controls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the foregoing occur, we may also become subject to investigations by the stock exchange on which our common stock is listed, the SEC or other regulatory authorities, as well as lawsuits by private plaintiffs.</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a holding company, and we are accordingly dependent upon distributions from our subsidiaries to pay dividends, if any, taxes and other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conduct any substantive operations and, as a result, our ability to pay dividends, taxes and other expenses will be dependent upon the financial results and cash flows of our operating subsidiaries and the distribution or other payment of cash to us in the form of dividends or otherwise. Our direct and indirect subsidiaries are separate and distinct legal entities and have no obligation to make any funds available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declaration and payment of dividends will be at the discretion of our board of directors and will be dependent upon the profits and financial requirements of our company and other factors, including legal and regulatory restrictions on the payment of dividends, general business conditions and such other factors as our board of directors deems relevant.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change our underwriting guidelines or our strategy without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the authority to change our underwriting guidelines or our strategy without notice to our stockholders and without stockholder approval. As a result, we may make significant changes to our operations which could result in our pursuing a strategy or implementing underwriting guidelines that may be materially different from the strategy or underwriting guidelines described in this Report.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sales of our common stock, or the perception in the public markets that these sales may occur, may depress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our common stock in the public market, or the perception that these sales could occur, could adversely affect the price of our common stock and could impair our ability to raise capital through the sale of additional shares. As of December 31, 2025, we had 123,889,446 shares of common stock outstanding. Of these shares, all the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common stock sold in this offering will be freely transferable without restriction or registration under the Securities Act, except for any shares purchased by one of our existing “affiliates” as that term is defined in Rule 144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registered all common stock that we may issue under our equity compensation plans. These shares can be freely sold in the public market upon issuance, subject to the lock-up period referred to above. If a large number of these shares are sold in the public market, the sales could reduce the trading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provisions of our amended and restated certificate of incorporation, our amended and restated bylaws and the Stockholders Agreement may make it difficult for stockholders to change the composition of our board of directors and may discourage hostile takeover attempts that some of our stockholders may consider to be beneficial.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of our amended and restated certificate of incorporation, amended and restated bylaws and Stockholders Agreement may have the effect of delaying or preventing changes in control if our board of directors determines that such changes in control are not in the best interests of us and our stockholders. The provisions in such amended and restated certificate of incorporation, amended and restated bylaws and Stockholders Agreement include, among other things,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the Substantial Ownership Requirement, which is defined in our Stockholders Agreement as requiring 10% of the aggregate number of outstanding shares of our common stock to be beneficially held by the Pre-IPO Significant Stockholders, Bruce Lucas, Shannon Lucas and Robert Gries, is no longer met, the Pre-IPO Significant Stockholders may designate a majority of the nominees for election to our board of directors, including the nominee for election to serve as Chairman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issue shares of preferred stock and to determine the price and other terms, including preferences and voting rights, of those shares without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 action can only be taken at a special or regular meeting and not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procedures for nominating candidates to our board of directors or presenting matters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board of directors will be divided into three classes of directors, with each class as nearly equal in number as possible, serving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removal of directors only for cause and by the affirmative vote of 66 2⁄3% of the voting power of our outstanding shares or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allowing only our board of directors to fill vacancies on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these provisions have the effect of encouraging persons seeking to acquire control of our company to negotiate with our board of directors, they could enable the board of directors to hinder or frustrate a transaction that some, or a majority, of the stockholders might believe to be in their best interests, including an acquisition that would result in a price per share at a premium over the market price, and, in that case, may prevent or discourage attempts to remove and replace incumbent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may frustrate or prevent any attempts by our stockholders to replace or remove our current management by making it more difficult for stockholders to replace members of our board of directors, which is responsible for appointing the members of our management.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issuance of preferred stock could make it difficult for another company to acquire us or could otherwise adversely affect holders of our common stock, which could depress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the authority to issue preferred stock and to determine the preferences, limitations and relative rights of shares of preferred stock and to fix the number of shares constituting any series and the designation of such series, without any further vote or action by our stockholders. Our preferred stock can be issued with voting, liquidation, dividend and other rights superior to the rights of our common stock. The potential issuance of preferred stock may delay or prevent a change in control of us, discouraging bids for our common stock at a premium over the market price, and adversely affect the market price and the voting and other rights of the holders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currently required to comply with SEC rules that implement Section 404 of the Sarbanes-Oxley Act and are therefore not required to make a formal assessment of the effectiveness of our internal controls over financial reporting for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purpose. We will be required to comply with these rules upon ceasing to be an “emerging growth company” as defined in the JOBS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evaluating our internal controls over financial reporting, we may identify material weaknesses that we may not be able to remediate in time to meet the applicable deadline imposed upon us for compliance with the requirements of Section 404 of the Sarbanes-Oxley Act.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business, results of operations and financial condition.</w:t>
      </w:r>
    </w:p>
    <w:p>
      <w:pPr>
        <w:pStyle w:val="TextBody"/>
        <w:bidi w:val="0"/>
        <w:spacing w:before="360" w:after="283"/>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5" w:name="item_1c_cybersecurity"/>
      <w:bookmarkEnd w:id="5"/>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digital technology to conduct our businesses and interact with customers, policyholders, agents, and vendors. With this reliance on technology comes the associated security risks from using today’s communication technology and networks.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goal of our cybersecurity risk management strategy is to protect the privacy, integrity, and availability of our critical systems and information. Our processes identify, assess, and manage material risk from cybersecurity threats as part of our entity-wide risk management efforts. To safeguard our data and the data of our customers, management utilizes a multi-layered approach consisting first of an external security operations center company that specializes in the detection and containment of cyber-attacks. For protection of endpoint devices connected to our network, we use the tailored security software of a third-party consultant company for managed detection and response. Perimeter defense technology is used to filter e-mail for threats from malware viruses and e-mail phishing attempts. We also detect threats through the use of our firewalls that monitor incoming and outgoing network traffic.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Tools utilized to prevent threats include multifactor authentication, e-mail security services, mobile e-mail security policies, virtual private networks, third-party security experts, and timely applied software patches, among others. We engage in annual penetration testing, disaster recovery testing, internal and external audits of our cybersecurity controls and simulated cyberattack scenarios to gauge our preparedness for these situations. In addition, employees are required to pass a mandatory cybersecurity training course annually and receive periodic phishing simulations to facilitate recognizing phishing attempts. We carry cyber insurance which provides us access to relevant security expertise.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of cybersecurity also extends to third-party service providers we use for specialized purposes such as payroll processing, investment tracking, regulatory financial reporting, and equity compensation plan administration. Our communication with these providers is protected by the safeguards within our security operation center.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respond to cybersecurity events in accordance with our Slide Incident Response Plan (IRP), which defines procedures for incident logging, assessment, investigation, response, mitigation, and required regulatory reporting to minimize business impact. This follows the guidance of the National Institute of Standards and Technology Cybersecurity Framework and provides for assessment, mitigation, and if necessary, remediation of any effects of a system breach. We also conduct annual breach simulations with internal information technology teams to test each step of our IRP.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cybersecurity incidents in the past that have materially affected the Company’s business strategy, results of operations, or financial condition. Although we believe our defenses against cyber-intrusions are sufficient, we continue to update our prevention programs to respond to sophisticated and rapidly evolving attempts to overcome our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measures. Such continuing threats could have a variety of adverse business impacts. See Item 1A – “Risk Factors” above for additional information on risks to our business from cybersecurity incidents and related matters.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is a critical component of our overall risk management process. Our Board of Directors oversees our cybersecurity efforts as delegated to and performed by senior management which is responsible for the identification and assessment of material risks from cybersecurity incidents. The members of management responsible for managing cybersecurity threats are the Company's Chief Information Officer (“CIO”) and, Chief Information Security Officer (“CISO”). The CIO and CISO have over 20 years of experience in managing information systems including the defense of computer networks against cyber intrusions. These members of management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The CISO, in particular, is dedicated to overseeing our multi-layered cybersecurity defenses and leads periodic security meetings.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receives periodic reports from management on cybersecurity risks and any material cybersecurity incidents. </w:t>
      </w:r>
    </w:p>
    <w:p>
      <w:pPr>
        <w:pStyle w:val="TextBody"/>
        <w:bidi w:val="0"/>
        <w:spacing w:before="360" w:after="283"/>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Leased Property</w:t>
      </w:r>
    </w:p>
    <w:p>
      <w:pPr>
        <w:pStyle w:val="TextBody"/>
        <w:bidi w:val="0"/>
        <w:spacing w:before="120" w:after="283"/>
        <w:jc w:val="left"/>
        <w:rPr>
          <w:rFonts w:ascii="Times New Roman" w:hAnsi="Times New Roman"/>
          <w:sz w:val="20"/>
        </w:rPr>
      </w:pPr>
      <w:r>
        <w:rPr>
          <w:rFonts w:ascii="Times New Roman" w:hAnsi="Times New Roman"/>
          <w:i/>
          <w:color w:val="000000"/>
          <w:sz w:val="20"/>
        </w:rPr>
        <w:t>Tampa, Florida</w:t>
      </w:r>
      <w:r>
        <w:rPr>
          <w:rFonts w:ascii="Times New Roman" w:hAnsi="Times New Roman"/>
          <w:color w:val="000000"/>
          <w:sz w:val="20"/>
        </w:rPr>
        <w:t>. We lease approximately 55,000 square feet of office space which currently serves as Slide Insurance Holdings, Inc’s corporate headquarters and the lease expires on April 29, 2030. We believe that our facilities are adequate for our current needs.</w:t>
      </w:r>
    </w:p>
    <w:p>
      <w:pPr>
        <w:pStyle w:val="TextBody"/>
        <w:bidi w:val="0"/>
        <w:spacing w:before="36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claims and legal actions arising routinely in the ordinary course of our business. Although we cannot predict with certainty the ultimate resolution of the claims asserted against us, we do not believe that any currently pending legal proceeding to which we are a party will have a material, adverse effect on our consolidated financial position, results of operations or cash flows.</w:t>
      </w:r>
    </w:p>
    <w:p>
      <w:pPr>
        <w:pStyle w:val="TextBody"/>
        <w:bidi w:val="0"/>
        <w:spacing w:before="36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Select Market (“NASDAQ”) under the symbol “SLDE”. As of February 27, 2026, we had 124,319,406 shares of common stock outstanding, including 1,052,488 shares of restricted stock for which restrictions have not lapsed. </w:t>
      </w:r>
    </w:p>
    <w:p>
      <w:pPr>
        <w:pStyle w:val="TextBody"/>
        <w:bidi w:val="0"/>
        <w:spacing w:before="360" w:after="283"/>
        <w:jc w:val="left"/>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not declared quarterly dividends and do not currently anticipate paying a dividend on our common stock. The declaration and payment of dividends will continue to be at the discretion of our board of directors and will depend on our profits, financial requirements and other factors, such as restrictions under our credit facilities, which limit our ability to pay dividends, and other legal and regulatory restrictions on the payment of dividends, our overall business condition and other elements our board of directors considers relevant.</w:t>
      </w:r>
    </w:p>
    <w:p>
      <w:pPr>
        <w:pStyle w:val="TextBody"/>
        <w:bidi w:val="0"/>
        <w:spacing w:before="360" w:after="283"/>
        <w:jc w:val="left"/>
        <w:rPr>
          <w:rFonts w:ascii="Times New Roman" w:hAnsi="Times New Roman"/>
          <w:sz w:val="20"/>
        </w:rPr>
      </w:pPr>
      <w:r>
        <w:rPr>
          <w:rFonts w:ascii="Times New Roman" w:hAnsi="Times New Roman"/>
          <w:i/>
          <w:color w:val="000000"/>
          <w:sz w:val="20"/>
        </w:rPr>
        <w:t>Stock Performance Graph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six month graph and table compare the cumulative total stockholder return of our common stock over the period from June 18, 2025, the date of the Company’s initial public offering, through December 31, 2025, assuming an initial investment of $100 and reinvestment of dividends with the performance among Slide, NASDAQ Insurance Index and Russell 2000 Index. We are a component of the Russell 2000 index and it provides a small and mid-cap benchmark index. The NASDAQ Insurance Index consists of all publicly traded insurance underwriters in the property and casualty sector in the United States.</w:t>
      </w:r>
    </w:p>
    <w:p>
      <w:pPr>
        <w:pStyle w:val="TextBody"/>
        <w:bidi w:val="0"/>
        <w:jc w:val="left"/>
        <w:rPr/>
      </w:pPr>
      <w:r>
        <w:rPr/>
        <w:t> </w:t>
      </w:r>
    </w:p>
    <w:p>
      <w:pPr>
        <w:pStyle w:val="TextBody"/>
        <w:bidi w:val="0"/>
        <w:spacing w:before="120" w:after="283"/>
        <w:jc w:val="center"/>
        <w:rPr/>
      </w:pPr>
      <w:r>
        <w:rPr/>
        <w:drawing>
          <wp:inline distT="0" distB="0" distL="0" distR="0">
            <wp:extent cx="4591050" cy="2771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91050" cy="2771775"/>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above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related to our repurchases of common stock during the fourth quarter of 2025:</w:t>
      </w:r>
    </w:p>
    <w:p>
      <w:pPr>
        <w:pStyle w:val="TextBody"/>
        <w:bidi w:val="0"/>
        <w:jc w:val="left"/>
        <w:rPr/>
      </w:pPr>
      <w:r>
        <w:rPr/>
        <w:t> </w:t>
      </w:r>
    </w:p>
    <w:tbl>
      <w:tblPr>
        <w:tblW w:w="9629" w:type="dxa"/>
        <w:jc w:val="left"/>
        <w:tblInd w:w="0" w:type="dxa"/>
        <w:tblLayout w:type="fixed"/>
        <w:tblCellMar>
          <w:top w:w="28" w:type="dxa"/>
          <w:left w:w="28" w:type="dxa"/>
          <w:bottom w:w="28" w:type="dxa"/>
          <w:right w:w="28" w:type="dxa"/>
        </w:tblCellMar>
      </w:tblPr>
      <w:tblGrid>
        <w:gridCol w:w="1996"/>
        <w:gridCol w:w="146"/>
        <w:gridCol w:w="181"/>
        <w:gridCol w:w="1154"/>
        <w:gridCol w:w="146"/>
        <w:gridCol w:w="146"/>
        <w:gridCol w:w="324"/>
        <w:gridCol w:w="876"/>
        <w:gridCol w:w="146"/>
        <w:gridCol w:w="146"/>
        <w:gridCol w:w="250"/>
        <w:gridCol w:w="1595"/>
        <w:gridCol w:w="146"/>
        <w:gridCol w:w="146"/>
        <w:gridCol w:w="432"/>
        <w:gridCol w:w="1608"/>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Price </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w:t>
              <w:br/>
              <w:t>Purchased as Part of</w:t>
              <w:br/>
              <w:t>Publicly Announced</w:t>
              <w:br/>
              <w:t xml:space="preserve">Plans or Programs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w:t>
              <w:br/>
              <w:t>of Shares that May Yet Be</w:t>
              <w:br/>
              <w:t>Purchased Under the</w:t>
              <w:br/>
              <w:t>Plans or 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10/1/2025-10/31/2025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11/1/2025-11/30/2025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12/1/2025-12/31/2025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26, 2025, the Board authorized the repurchase program, which allows the Company to repurchase, from time to time, up to $75.0 million of common stock through open market repurchases in compliance with Rule 10b-18 under the Exchange Act and/or in privately negotiated transactions at management’s discretion based on market and business conditions, applicable legal requirements and other factors. On November 4, 2025, the Board authorized an increase to the repurchase program to purchase an additional $45.0 million of common stock. The Company has repurchased 2,627,532 shares of common stock for $40.0 million as of December 31, 2025. Upon repurchase, the Company retired the shares of common stock. The repurchase plan has no time deadline and will continue until all authorized shares have been repurchased or otherwise modified or terminated by the Board.</w:t>
      </w:r>
    </w:p>
    <w:p>
      <w:pPr>
        <w:pStyle w:val="TextBody"/>
        <w:bidi w:val="0"/>
        <w:spacing w:before="360" w:after="283"/>
        <w:jc w:val="left"/>
        <w:rPr>
          <w:rFonts w:ascii="Times New Roman" w:hAnsi="Times New Roman"/>
          <w:b/>
          <w:color w:val="000000"/>
          <w:sz w:val="20"/>
        </w:rPr>
      </w:pPr>
      <w:bookmarkStart w:id="10" w:name="item_6_reserved"/>
      <w:bookmarkEnd w:id="10"/>
      <w:r>
        <w:rPr>
          <w:rFonts w:ascii="Times New Roman" w:hAnsi="Times New Roman"/>
          <w:b/>
          <w:color w:val="000000"/>
          <w:sz w:val="20"/>
        </w:rPr>
        <w:t>Item 6. Reserved</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7_managements_discussion"/>
      <w:bookmarkEnd w:id="11"/>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Launched in 2021, we are a technology-enabled, fast-growing, coastal specialty insurer. We focus on profitable underwriting of single family, condominium and commercial residential policies in the P&amp;C industry in coastal states along the Atlantic seaboard through our insurance subsidiary, Slide Insurance Company (“SIC”). We utilize our differentiated technology and data-driven approach to focus on market opportunities that are underserved by other insurance companies. We acquire policies both from inorganic block acquisitions and subsequent renewals, as well as new business sales through a combination of independent agents and our direct-to-consumer (“DTC”) channel, through which we sell our insurance products directly to end consumers, without the use of retailers, brokers, agents or other intermediaries. We do not depend on any one key product or product line within the coastal specialty homeowners and commercial residential insurance market. We control all aspects of our value chain, including technology, underwriting, actuarial, distribution, claims and risk management which allows us to maximize profitability while maintaining disciplined underwriting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goal is to deliver long-term value for stockholders by focusing on underserved, coastal specialty markets where market capacity is limited and demand for insurance products is high. Coastal specialty market demand for insurance products has increased over the last few years as the larger, national insurance carriers have reduced their underwriting capacity in such markets which has created a unique market opportunity for us to capitalize on the imbalance of supply and demand.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one reportable segment. See the below table for a summary of gross premiums written, policy fees, total revenue, consolidated combined ratio, return on equity, and return on tangible equity </w:t>
      </w:r>
      <w:r>
        <w:rPr>
          <w:rFonts w:ascii="Times New Roman" w:hAnsi="Times New Roman"/>
          <w:color w:val="000000"/>
          <w:sz w:val="13"/>
        </w:rPr>
        <w:t>(1)</w:t>
      </w:r>
      <w:r>
        <w:rPr>
          <w:rFonts w:ascii="Times New Roman" w:hAnsi="Times New Roman"/>
          <w:color w:val="000000"/>
          <w:sz w:val="20"/>
        </w:rPr>
        <w:t xml:space="preserve"> for the year ended December 31, 2025 and 2024, and the total assets, shareholders' equity and tangible shareholders' equity </w:t>
      </w:r>
      <w:r>
        <w:rPr>
          <w:rFonts w:ascii="Times New Roman" w:hAnsi="Times New Roman"/>
          <w:color w:val="000000"/>
          <w:sz w:val="13"/>
        </w:rPr>
        <w:t>(1)</w:t>
      </w:r>
      <w:r>
        <w:rPr>
          <w:rFonts w:ascii="Times New Roman" w:hAnsi="Times New Roman"/>
          <w:color w:val="000000"/>
          <w:sz w:val="20"/>
        </w:rPr>
        <w:t xml:space="preserve"> as of December 31, 2025 and 2024.</w:t>
      </w:r>
    </w:p>
    <w:p>
      <w:pPr>
        <w:pStyle w:val="TextBody"/>
        <w:bidi w:val="0"/>
        <w:jc w:val="left"/>
        <w:rPr/>
      </w:pPr>
      <w:r>
        <w:rPr/>
        <w:t> </w:t>
      </w:r>
    </w:p>
    <w:tbl>
      <w:tblPr>
        <w:tblW w:w="5594" w:type="dxa"/>
        <w:jc w:val="left"/>
        <w:tblInd w:w="0" w:type="dxa"/>
        <w:tblLayout w:type="fixed"/>
        <w:tblCellMar>
          <w:top w:w="28" w:type="dxa"/>
          <w:left w:w="28" w:type="dxa"/>
          <w:bottom w:w="28" w:type="dxa"/>
          <w:right w:w="28" w:type="dxa"/>
        </w:tblCellMar>
      </w:tblPr>
      <w:tblGrid>
        <w:gridCol w:w="2431"/>
        <w:gridCol w:w="146"/>
        <w:gridCol w:w="211"/>
        <w:gridCol w:w="931"/>
        <w:gridCol w:w="271"/>
        <w:gridCol w:w="146"/>
        <w:gridCol w:w="211"/>
        <w:gridCol w:w="931"/>
        <w:gridCol w:w="31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1,795,516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1,333,864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1,155,901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Return on tangible equity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420" w:type="dxa"/>
        <w:jc w:val="left"/>
        <w:tblInd w:w="0" w:type="dxa"/>
        <w:tblLayout w:type="fixed"/>
        <w:tblCellMar>
          <w:top w:w="28" w:type="dxa"/>
          <w:left w:w="28" w:type="dxa"/>
          <w:bottom w:w="28" w:type="dxa"/>
          <w:right w:w="28" w:type="dxa"/>
        </w:tblCellMar>
      </w:tblPr>
      <w:tblGrid>
        <w:gridCol w:w="2791"/>
        <w:gridCol w:w="146"/>
        <w:gridCol w:w="277"/>
        <w:gridCol w:w="1223"/>
        <w:gridCol w:w="146"/>
        <w:gridCol w:w="146"/>
        <w:gridCol w:w="277"/>
        <w:gridCol w:w="1223"/>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1,931,927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Tangible Shareholders' Equity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Non-GAAP financial measure. See “</w:t>
      </w:r>
      <w:r>
        <w:rPr>
          <w:rFonts w:ascii="Times New Roman" w:hAnsi="Times New Roman"/>
          <w:i/>
          <w:color w:val="000000"/>
          <w:sz w:val="20"/>
        </w:rPr>
        <w:t>Results of Operations – Non-GAAP Financial Measures</w:t>
      </w:r>
      <w:r>
        <w:rPr>
          <w:color w:val="000000"/>
        </w:rPr>
        <w:t xml:space="preserve">” </w:t>
      </w:r>
      <w:r>
        <w:rPr>
          <w:rFonts w:ascii="Times New Roman" w:hAnsi="Times New Roman"/>
          <w:color w:val="000000"/>
          <w:sz w:val="20"/>
        </w:rPr>
        <w:t>for a reconciliation of return on tangible equity to return on equity, the most directly comparable GAAP measure.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Gross premiums written. </w:t>
      </w:r>
      <w:r>
        <w:rPr>
          <w:rFonts w:ascii="Times New Roman" w:hAnsi="Times New Roman"/>
          <w:color w:val="000000"/>
          <w:sz w:val="20"/>
        </w:rPr>
        <w:t>Gross premiums written represent, with respect to a fiscal period, the sum of assumed premiums written from Citizens policy assumptions (net of opt-outs) plus direct premiums written (premiums from subsequent renewals of such Citizens policies and new and renewal policies written through independent agents and our DTC channel, net of any midterm cancellations), in each case prior to amounts ceded to reinsurers. Gross premiums written in any given fiscal period are affected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of premiums assumed from Citizens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 acquisitions from other third-party insurers;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Renewals of existing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business submissions and binding of new submissions into effective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Average premium of new and renewal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Premium rates on new and renewal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we assumed 191,850 policies, representing approximately $373 million in assumed unearned premiums from Citizens. These policies carry no upfront acquisition costs and are captured in our current treaty year reinsurance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recent legislative and regulatory changes, improvements in the data that is made available on Citizens policies and rate increases implemented by Citizens making pricing more comparable to what we charge for policies underwritten in other channels make the opportunity to assume policies from Citizens attractive.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Take-out opportunities, however, are subject to a number of market, timing and execution risks, and future take-out opportunities may or may not materialize.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Gross premiums earned. </w:t>
      </w:r>
      <w:r>
        <w:rPr>
          <w:rFonts w:ascii="Times New Roman" w:hAnsi="Times New Roman"/>
          <w:color w:val="000000"/>
          <w:sz w:val="20"/>
        </w:rPr>
        <w:t xml:space="preserve">Gross premiums earned represent the portion of our gross premiums written earned during a fiscal period from assumed (including those assumed from Citizens), direct policies written and subsequent renewals of such policies. Gross premiums written associated with assumed policies from Citizens are earned ratably over the remaining term of the policy and gross premiums written associated with voluntary and renewal policies are earned ratably over the term of the policy. All such new and renewal policies currently have a term of 12 months from date of issuance.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Ceded premiums earned. </w:t>
      </w:r>
      <w:r>
        <w:rPr>
          <w:rFonts w:ascii="Times New Roman" w:hAnsi="Times New Roman"/>
          <w:color w:val="000000"/>
          <w:sz w:val="20"/>
        </w:rPr>
        <w:t xml:space="preserve">Ceded premiums earned represent the earned portion of our gross premiums written ceded to reinsurers and other costs of our reinsurance during a fiscal period. We recognize the cost of our reinsurance program ratably over the term of the arrangement, which is typically 12 months. Our ceded premiums earned represent costs of reinsurance to cover losses from catastrophes that exceed the retention levels defined by our catastrophe excess of loss reinsurance contracts. The rates we pay for reinsurance are based primarily on policy exposures reflected in gross premiums earned. </w:t>
      </w:r>
    </w:p>
    <w:p>
      <w:pPr>
        <w:pStyle w:val="TextBody"/>
        <w:bidi w:val="0"/>
        <w:spacing w:before="240" w:after="283"/>
        <w:jc w:val="left"/>
        <w:rPr>
          <w:rFonts w:ascii="Times New Roman" w:hAnsi="Times New Roman"/>
          <w:sz w:val="20"/>
        </w:rPr>
      </w:pPr>
      <w:r>
        <w:rPr>
          <w:rFonts w:ascii="Times New Roman" w:hAnsi="Times New Roman"/>
          <w:i/>
          <w:color w:val="000000"/>
          <w:sz w:val="20"/>
        </w:rPr>
        <w:t>Net premiums earned.</w:t>
      </w:r>
      <w:r>
        <w:rPr>
          <w:rFonts w:ascii="Times New Roman" w:hAnsi="Times New Roman"/>
          <w:color w:val="000000"/>
          <w:sz w:val="20"/>
        </w:rPr>
        <w:t xml:space="preserve"> Net premiums earned reflect gross premiums earned less ceded premiums earned during the fiscal period. </w:t>
      </w:r>
    </w:p>
    <w:p>
      <w:pPr>
        <w:pStyle w:val="TextBody"/>
        <w:bidi w:val="0"/>
        <w:spacing w:before="240" w:after="283"/>
        <w:jc w:val="left"/>
        <w:rPr>
          <w:rFonts w:ascii="Times New Roman" w:hAnsi="Times New Roman"/>
          <w:sz w:val="20"/>
        </w:rPr>
      </w:pPr>
      <w:r>
        <w:rPr>
          <w:rFonts w:ascii="Times New Roman" w:hAnsi="Times New Roman"/>
          <w:i/>
          <w:color w:val="000000"/>
          <w:sz w:val="20"/>
        </w:rPr>
        <w:t>Net investment income</w:t>
      </w:r>
      <w:r>
        <w:rPr>
          <w:rFonts w:ascii="Times New Roman" w:hAnsi="Times New Roman"/>
          <w:color w:val="000000"/>
          <w:sz w:val="20"/>
        </w:rPr>
        <w:t xml:space="preserve">. Net investment income represents interest earned from cash, cash equivalents, restricted cash, fixed-maturity securities, money market accounts and other investments and the realized gains or losses from the sale of investments. Factors affecting net investment income include the size of our investment portfolio and the yield generated by the underlying investments in our investment portfolio.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fees. </w:t>
      </w:r>
      <w:r>
        <w:rPr>
          <w:rFonts w:ascii="Times New Roman" w:hAnsi="Times New Roman"/>
          <w:color w:val="000000"/>
          <w:sz w:val="20"/>
        </w:rPr>
        <w:t>Florida law allows insurers to charge policyholders a $25 policy fee on each policy written. Policy fees represent such upfront policy fees. These fees are not subject to refund, and accordingly we recognize policy fees as income immediately when collected in accordance with ASC 606, which coincides with the completion of our service obligation when the policy is issued.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Other income represents all pay-plan fees and commission income earned by our retail agency subsidiary that sells on behalf of non-affiliated carriers. We charge pay-plan fees to policyholders that pay their premium in more than one installment and record the fees as income when collected.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Losses and loss adjustment expenses incurred, net. </w:t>
      </w:r>
      <w:r>
        <w:rPr>
          <w:rFonts w:ascii="Times New Roman" w:hAnsi="Times New Roman"/>
          <w:color w:val="000000"/>
          <w:sz w:val="20"/>
        </w:rPr>
        <w:t>Losses and loss adjustment expenses incurred, net reflect losses paid, expenses paid to resolve claims, such as fees paid to adjusters, attorneys and investigators, and changes in our reserves for unpaid losses and loss adjustment expenses incurred, net during the fiscal period, in each case net of losses ceded to reinsurers. Our reserves for unpaid losses and loss adjustment expenses incurred, net represent the estimated ultimate cost of resolving all reported claims plus all losses we incurred related to insured events that we assume have occurred as of the reporting date, but that policyholders have not yet reported to us (which are commonly referred to as “incurred but not reported,” or “IBNR”). We estimate our reserves for unpaid losses using individual case-based estimates for reported claims and actuarial estimates for IBNR losses. We continually review and adjust our estimated losses as necessary based on industry development trends, our evolving claims experience and new information obtained. If our unpaid losses and loss adjustment expenses incurred, net are considered deficient or redundant, we increase or decrease the liability in the period in which we identify the difference and reflect the change in our current period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general, our losses and loss adjustment expense reserves (“LAE”) are affected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frequency and severity of claims associated with the particular types of insurance contracts that we write;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reinsurance agreements we have in place at the time of a loss;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mix of business written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legal or regulatory environment related to the business we write;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trends in legal defense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in the cost of claims including inflation related to wages, medical costs and building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Losses and LAE are based on actual paid losses and expenses, as well as an actuarial analysis of the estimated losses, including losses incurred during the period and changes in estimates from prior periods. Losses and LAE may be paid out over a period of years.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and other underwriting expenses. </w:t>
      </w:r>
      <w:r>
        <w:rPr>
          <w:rFonts w:ascii="Times New Roman" w:hAnsi="Times New Roman"/>
          <w:color w:val="000000"/>
          <w:sz w:val="20"/>
        </w:rPr>
        <w:t>Policy acquisition and other underwriting expenses consist of the following items: (i) commissions paid to outside agents at the time of policy issuance, (ii) premium taxes and (iii) inspection fees. We recognize policy acquisition and other underwriting expenses ratably over the term of the underlying policy. Until renewed, policies assumed from Citizens have no associated policy acquisition and other underwriting expenses.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General and administrative expenses include compensation and related benefits, professional fees, office lease and related expenses, information system expenses, corporate insurance, and other general and administrative costs.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consists of interest paid on our commercial loans and Credit Facility (as defined below), amortization of debt issuance costs, net settlements of interest rate swaps, and changes in market value of interest rate swaps.</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expense</w:t>
      </w:r>
      <w:r>
        <w:rPr>
          <w:rFonts w:ascii="Times New Roman" w:hAnsi="Times New Roman"/>
          <w:color w:val="000000"/>
          <w:sz w:val="20"/>
        </w:rPr>
        <w:t>. Depreciation expense includes depreciation of property and equipment, including software developed for internal use.</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expense</w:t>
      </w:r>
      <w:r>
        <w:rPr>
          <w:rFonts w:ascii="Times New Roman" w:hAnsi="Times New Roman"/>
          <w:color w:val="000000"/>
          <w:sz w:val="20"/>
        </w:rPr>
        <w:t>. Amortization expense includes amortization of renewal rights and other intangible assets.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operating expense. </w:t>
      </w:r>
      <w:r>
        <w:rPr>
          <w:rFonts w:ascii="Times New Roman" w:hAnsi="Times New Roman"/>
          <w:color w:val="000000"/>
          <w:sz w:val="20"/>
        </w:rPr>
        <w:t>Other operating expense includes other miscellaneous expenses.</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Income tax expense generally consists of income taxes payable by our subsidiaries that are taxed as corporations. We were incorporated as a corporation in the state of Delaware on March 2, 2021. As a corporation, we are subject to typical corporate U.S. federal and state income tax rates which we expect to result in a statutory tax rate of approximately 25% under current tax law.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Key Metrics &amp; Ratios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discuss certain key financial and operating metrics, described below, which provide useful information about our business and the operational factors underlying our financial performance.</w:t>
      </w:r>
    </w:p>
    <w:p>
      <w:pPr>
        <w:pStyle w:val="TextBody"/>
        <w:bidi w:val="0"/>
        <w:spacing w:before="24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expressed as a percentage, is the ratio of losses and loss adjustment expenses incurred, net to net premiums earned.</w:t>
      </w:r>
    </w:p>
    <w:p>
      <w:pPr>
        <w:pStyle w:val="TextBody"/>
        <w:bidi w:val="0"/>
        <w:spacing w:before="240" w:after="283"/>
        <w:jc w:val="left"/>
        <w:rPr>
          <w:rFonts w:ascii="Times New Roman" w:hAnsi="Times New Roman"/>
          <w:sz w:val="20"/>
        </w:rPr>
      </w:pPr>
      <w:r>
        <w:rPr>
          <w:rFonts w:ascii="Times New Roman" w:hAnsi="Times New Roman"/>
          <w:i/>
          <w:color w:val="000000"/>
          <w:sz w:val="20"/>
        </w:rPr>
        <w:t>Policy acquisition expense ratio,</w:t>
      </w:r>
      <w:r>
        <w:rPr>
          <w:rFonts w:ascii="Times New Roman" w:hAnsi="Times New Roman"/>
          <w:color w:val="000000"/>
          <w:sz w:val="20"/>
        </w:rPr>
        <w:t xml:space="preserve"> expressed as a percentage, is the ratio of policy acquisition expenses and other underwriting expenses to net premiums earned</w:t>
      </w:r>
      <w:r>
        <w:rPr>
          <w:rFonts w:ascii="Times New Roman" w:hAnsi="Times New Roman"/>
          <w:i/>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expressed as a percentage, is the ratio of policy acquisition and other underwriting expenses, general and administrative expenses, and other operating expense to net premiums earned.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Combined ratio </w:t>
      </w:r>
      <w:r>
        <w:rPr>
          <w:rFonts w:ascii="Times New Roman" w:hAnsi="Times New Roman"/>
          <w:color w:val="000000"/>
          <w:sz w:val="20"/>
        </w:rPr>
        <w:t>is the sum of the loss ratio and the expense ratio. A combined ratio under 100% indicates an underwriting profit. A combined ratio over 100% indicates an underwriting loss.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Debt to capitalization ratio </w:t>
      </w:r>
      <w:r>
        <w:rPr>
          <w:rFonts w:ascii="Times New Roman" w:hAnsi="Times New Roman"/>
          <w:color w:val="000000"/>
          <w:sz w:val="20"/>
        </w:rPr>
        <w:t>is the ratio, expressed as a percentage, of total outstanding debt to total capitalization.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equity </w:t>
      </w:r>
      <w:r>
        <w:rPr>
          <w:rFonts w:ascii="Times New Roman" w:hAnsi="Times New Roman"/>
          <w:color w:val="000000"/>
          <w:sz w:val="20"/>
        </w:rPr>
        <w:t>represents net income expressed on an annualized basis as a percentage of average beginning and ending shareholders’ equity during the period.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tangible equity </w:t>
      </w:r>
      <w:r>
        <w:rPr>
          <w:rFonts w:ascii="Times New Roman" w:hAnsi="Times New Roman"/>
          <w:color w:val="000000"/>
          <w:sz w:val="20"/>
        </w:rPr>
        <w:t>is a non-GAAP financial measure. We define tangible shareholders’ equity as shareholders’ equity less goodwill and other intangible assets. We define return on tangible equity as net income expressed on an annualized basis as a percentage of average beginning and ending tangible shareholders’ equity during the period. We regularly evaluate acquisition opportunities and have historically made acquisitions that affect shareholders’ equity. We use return on tangible equity as an internal performance measure in the management of our operations because we believe it gives our management and other users of our financial information useful insight into our results of operations and our underlying business performance. “See “</w:t>
      </w:r>
      <w:r>
        <w:rPr>
          <w:rFonts w:ascii="Times New Roman" w:hAnsi="Times New Roman"/>
          <w:i/>
          <w:color w:val="000000"/>
          <w:sz w:val="20"/>
        </w:rPr>
        <w:t>Results of Operations - Non-GAAP Financial Measures</w:t>
      </w:r>
      <w:r>
        <w:rPr>
          <w:rFonts w:ascii="Times New Roman" w:hAnsi="Times New Roman"/>
          <w:color w:val="000000"/>
          <w:sz w:val="20"/>
        </w:rPr>
        <w:t>” for a reconciliation of return on tangible equity to return on equity, the most directly comparable GAAP measure.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years ended December 31,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96"/>
        <w:gridCol w:w="146"/>
        <w:gridCol w:w="211"/>
        <w:gridCol w:w="931"/>
        <w:gridCol w:w="271"/>
        <w:gridCol w:w="146"/>
        <w:gridCol w:w="211"/>
        <w:gridCol w:w="931"/>
        <w:gridCol w:w="271"/>
        <w:gridCol w:w="146"/>
        <w:gridCol w:w="211"/>
        <w:gridCol w:w="841"/>
        <w:gridCol w:w="271"/>
        <w:gridCol w:w="146"/>
        <w:gridCol w:w="177"/>
        <w:gridCol w:w="694"/>
        <w:gridCol w:w="405"/>
      </w:tblGrid>
      <w:tr>
        <w:trPr/>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1,795,516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1,333,864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1,097,300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792,439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1,155,901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846,814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309,087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and loss adjustment expenses incurred,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and 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566,662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576,839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589,239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269,975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319,264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118.3</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443,958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201,125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242,833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120.7</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to capitalization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Return on tangible equity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Non-GAAP financial measure. See “</w:t>
      </w:r>
      <w:r>
        <w:rPr>
          <w:rFonts w:ascii="Times New Roman" w:hAnsi="Times New Roman"/>
          <w:i/>
          <w:color w:val="000000"/>
          <w:sz w:val="20"/>
        </w:rPr>
        <w:t>Results of Operations - Non-GAAP Financial Measures</w:t>
      </w:r>
      <w:r>
        <w:rPr>
          <w:color w:val="000000"/>
        </w:rPr>
        <w:t xml:space="preserve">” </w:t>
      </w:r>
      <w:r>
        <w:rPr>
          <w:rFonts w:ascii="Times New Roman" w:hAnsi="Times New Roman"/>
          <w:color w:val="000000"/>
          <w:sz w:val="20"/>
        </w:rPr>
        <w:t>for a reconciliation of return on tangible equity to return on equity, the most directly comparable GAAP measure.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Gross premiums written. </w:t>
      </w:r>
      <w:r>
        <w:rPr>
          <w:rFonts w:ascii="Times New Roman" w:hAnsi="Times New Roman"/>
          <w:color w:val="000000"/>
          <w:sz w:val="20"/>
        </w:rPr>
        <w:t xml:space="preserve">Gross premiums written increased to $1,795.1 million for the year ended December 31, 2025 from $1,333.9 million for the year ended December 31, 2024. The increase in net premiums written was primarily a result of an increase in policies assumed by Citizens, increases in renewal rates of existing written policies, as well as new policies written resulting from acquired renewal rights of Florida homeowners’ policies with effective dates of February 2024 and later from Truck Insurance Exchange, a subsidiary of Farmers. We initially acquired policy renewal rights from Farmers in February 2024. These policies were originally written by Farmers, and were due to expire in February 2024 and later. In 2024, we wrote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36% of the policies for which we acquired renewal rights from Farmers. We expect to continue to write new policies pursuant to our renewal rights agreement with Farmers as part of our diversified approach to policy underwriting, subject to market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policies acquired during the year ended December 31, 2025 increased by 55,875 policies, or 41.1%, compared to the prior year as a result of an increase in policies acquired from Citizens during the current period. Our policies written during the year ended December 31, 2025 decreased by 18,275 policies, or 39.4%, as a result of fewer Farmers policies written. In addition, for the year ended December 31, 2025, our policy renewals increased by 97,390, or 37.6%, as a result of the renewal of policies acquired from Citizens as compared to the same period in 2024, Farmers policy renewals and organic policy renewals. Our average premium per residential policy decreased from $3,924 at December 31, 2024 to $3,670 at December 31, 2025 as a result of a decrease in average premium of Citizens policies assumed. Additionally, our average premium per commercial residential policy was $143,213 at December 31, 2025. </w:t>
      </w:r>
    </w:p>
    <w:p>
      <w:pPr>
        <w:pStyle w:val="TextBody"/>
        <w:bidi w:val="0"/>
        <w:spacing w:before="240" w:after="283"/>
        <w:jc w:val="left"/>
        <w:rPr>
          <w:rFonts w:ascii="Times New Roman" w:hAnsi="Times New Roman"/>
          <w:sz w:val="20"/>
        </w:rPr>
      </w:pPr>
      <w:r>
        <w:rPr>
          <w:rFonts w:ascii="Times New Roman" w:hAnsi="Times New Roman"/>
          <w:i/>
          <w:color w:val="000000"/>
          <w:sz w:val="20"/>
        </w:rPr>
        <w:t>Gross premiums earned</w:t>
      </w:r>
      <w:r>
        <w:rPr>
          <w:rFonts w:ascii="Times New Roman" w:hAnsi="Times New Roman"/>
          <w:color w:val="000000"/>
          <w:sz w:val="20"/>
        </w:rPr>
        <w:t xml:space="preserve">. Gross premiums earned increased to $1,491.2 million for the year ended December 31, 2025 from $1,097.3 million for the year ended December 31, 2024. Our policies in force as of December 31, 2025 and December 31, 2024 were approximately 493,532 and 343,056 respectively, and this increase had a favorable impact on our gross premiums earned. </w:t>
      </w:r>
    </w:p>
    <w:p>
      <w:pPr>
        <w:pStyle w:val="TextBody"/>
        <w:bidi w:val="0"/>
        <w:spacing w:before="240" w:after="283"/>
        <w:jc w:val="left"/>
        <w:rPr>
          <w:rFonts w:ascii="Times New Roman" w:hAnsi="Times New Roman"/>
          <w:sz w:val="20"/>
        </w:rPr>
      </w:pPr>
      <w:r>
        <w:rPr>
          <w:rFonts w:ascii="Times New Roman" w:hAnsi="Times New Roman"/>
          <w:i/>
          <w:color w:val="000000"/>
          <w:sz w:val="20"/>
        </w:rPr>
        <w:t>Ceded premiums earned</w:t>
      </w:r>
      <w:r>
        <w:rPr>
          <w:rFonts w:ascii="Times New Roman" w:hAnsi="Times New Roman"/>
          <w:color w:val="000000"/>
          <w:sz w:val="20"/>
        </w:rPr>
        <w:t xml:space="preserve">. Ceded premiums for the year ended December 31, 2025 and 2024 were approximately $411.7 million and $304.9 million, respectively, representing 27.6% and 27.8%, respectively, of gross premiums earned. The $106.8 million increase was primarily attributable to increased catastrophe reinsurance purchased due to increased policies in force.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premiums earned. </w:t>
      </w:r>
      <w:r>
        <w:rPr>
          <w:rFonts w:ascii="Times New Roman" w:hAnsi="Times New Roman"/>
          <w:color w:val="000000"/>
          <w:sz w:val="20"/>
        </w:rPr>
        <w:t>Net premiums earned increased to $1,079.5 million for the year ended December 31, 2025 from $792.4 million for the year ended December 31, 2024. The increase in net premiums earned in the comparable periods was primarily attributable to assumptions of policies from Citizens and increased renewals of existing policies.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investment income. </w:t>
      </w:r>
      <w:r>
        <w:rPr>
          <w:rFonts w:ascii="Times New Roman" w:hAnsi="Times New Roman"/>
          <w:color w:val="000000"/>
          <w:sz w:val="20"/>
        </w:rPr>
        <w:t xml:space="preserve">Net investment income, inclusive of realized investment gains and losses, increased to $66.4 million for the year ended December 31, 2025 from $47.1 million for the year ended December 31, 2024. Our average investable assets increased to $1,763.7 million for the year ended December 31, 2025 from $986.3 million for the year ended December 31, 2024. The increase in net investment income was due to increased equity from retained earnings and increased policies in force.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fees. </w:t>
      </w:r>
      <w:r>
        <w:rPr>
          <w:rFonts w:ascii="Times New Roman" w:hAnsi="Times New Roman"/>
          <w:color w:val="000000"/>
          <w:sz w:val="20"/>
        </w:rPr>
        <w:t xml:space="preserve">Policy fees increased to $8.2 million for the year ended December 31, 2025 from $6.6 million for the year ended December 31, 2024. The increase in policy fees was primarily attributable to increased renewals of existing policies.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 xml:space="preserve">Other income increased to $1.7 million for the year ended December 31, 2025 from $0.8 million for the year ended December 31, 2024. The increase in other income was primarily attributable to an increase in commissionable premiums produced for other insurance companies.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Total revenue. </w:t>
      </w:r>
      <w:r>
        <w:rPr>
          <w:rFonts w:ascii="Times New Roman" w:hAnsi="Times New Roman"/>
          <w:color w:val="000000"/>
          <w:sz w:val="20"/>
        </w:rPr>
        <w:t xml:space="preserve">Total revenue increased to $1,155.9 million for the year ended December 31, 2025 from $846.8 million for the year ended December 31, 2024. The increase in total revenue was due primarily to an increase in net premiums earned primarily attributable to increased assumptions of policies from Citizens and increased renewals of existing policies.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Losses and loss adjustment expenses incurred, net. </w:t>
      </w:r>
      <w:r>
        <w:rPr>
          <w:rFonts w:ascii="Times New Roman" w:hAnsi="Times New Roman"/>
          <w:color w:val="000000"/>
          <w:sz w:val="20"/>
        </w:rPr>
        <w:t>Losses and loss adjustment expenses incurred, net decreased to $235.5 million (there were no incurred losses from named storms during the period) for the year ended December 31, 2025 from $339.3 million (inclusive of catastrophe losses of $87.9 million from Hurricane Debby, Helene and Milton) for the year ended December 31, 2024. The decrease in losses and loss adjustment expenses incurred, net resulted primarily from the release of non-catastrophe reserve due to lower than expected payments. Losses and loss adjustment expenses incurred, net for the year ended December 31, 2025 included losses paid of $196.3 million and a $39.2 million increase in unpaid losses and loss adjustment expenses incurred, net, including the addition of $41.5 million of IBNR reserves. As of December 31, 2025, we reported $293.6 million in unpaid losses and loss adjustment expenses incurred, net, which included $237.2 million attributable to IBNR, or 80.8% of total reserves for unpaid losses and loss adjustment expenses incurred, net.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and other underwriting expenses. </w:t>
      </w:r>
      <w:r>
        <w:rPr>
          <w:rFonts w:ascii="Times New Roman" w:hAnsi="Times New Roman"/>
          <w:color w:val="000000"/>
          <w:sz w:val="20"/>
        </w:rPr>
        <w:t>Policy acquisition and other underwriting expenses for the year ended December 31, 2025 and 2024 were approximately $139.4 million and $86.0 million, respectively, representing 12.9% and 10.8% of net premiums earned, respectively. The increase was primarily attributable to increased policies in force and fewer premiums earned on Citizens' policies in their assumption period, which had reduced policy acquisition costs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General and administrative expenses for the year ended December 31, 2025 and 2024 and were approximately $175.8 million and $137.5 million , respectively, representing 16.3% and 17.4%, respectively, of net premiums earned. The increase was due primarily to the growth in staffing to support the Company’s increased policies in force. Personnel count increased to 504 at December 31, 2025 from 346 at December 31, 2024.</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 xml:space="preserve">Interest expense decreased to $3.6 million for the year ended December 31, 2025 from $3.8 million for the year ended December 31, 2024. The decrease was due primarily to the decrease in outstanding debt.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Depreciation expense. </w:t>
      </w:r>
      <w:r>
        <w:rPr>
          <w:rFonts w:ascii="Times New Roman" w:hAnsi="Times New Roman"/>
          <w:color w:val="000000"/>
          <w:sz w:val="20"/>
        </w:rPr>
        <w:t xml:space="preserve">Depreciation expense for the year ended December 31, 2025 and 2024 was $4.9 million and $2.4 million, respectively. The increase was due primarily to depreciation of capitalized costs of internal-use software projects that were put into production in 2024. </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expense</w:t>
      </w:r>
      <w:r>
        <w:rPr>
          <w:rFonts w:ascii="Times New Roman" w:hAnsi="Times New Roman"/>
          <w:color w:val="000000"/>
          <w:sz w:val="20"/>
        </w:rPr>
        <w:t xml:space="preserve">. Amortization expense for the year ended December 31, 2025 and 2024 was $7.6 million and $7.9 million, respectively, representing 0.7% and 1.0%, respectively, of net premiums earned. The decrease was due primarily to an intangible asset being fully amortized at the end of 2024.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Income tax expense. </w:t>
      </w:r>
      <w:r>
        <w:rPr>
          <w:rFonts w:ascii="Times New Roman" w:hAnsi="Times New Roman"/>
          <w:color w:val="000000"/>
          <w:sz w:val="20"/>
        </w:rPr>
        <w:t>Income tax expense was $145.3 million and $68.9 million for the year ended December 31, 2025 and 2024, respectively. Our effective tax rate for each of the year ended December 31, 2025 was 24.66% and December 31, 2024 was 25.5%. The decrease in tax rate was primarily due to the favorable treatment of stock options.</w:t>
      </w:r>
    </w:p>
    <w:p>
      <w:pPr>
        <w:pStyle w:val="TextBody"/>
        <w:bidi w:val="0"/>
        <w:spacing w:before="360" w:after="283"/>
        <w:jc w:val="left"/>
        <w:rPr>
          <w:rFonts w:ascii="Times New Roman" w:hAnsi="Times New Roman"/>
          <w:sz w:val="20"/>
        </w:rPr>
      </w:pPr>
      <w:r>
        <w:rPr>
          <w:rFonts w:ascii="Times New Roman" w:hAnsi="Times New Roman"/>
          <w:b/>
          <w:i/>
          <w:color w:val="000000"/>
          <w:sz w:val="20"/>
        </w:rPr>
        <w:t>Ratios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xml:space="preserve">. Our loss ratio decreased to 21.8% for the year ended December 31, 2025 from 42.8% for the year ended December 31, 2024, primarily as a result of increased net premiums earned from increased policies in force and a decrease in catastrophe losses from hurricane and non-hurricane weather activity. </w:t>
      </w:r>
    </w:p>
    <w:p>
      <w:pPr>
        <w:pStyle w:val="TextBody"/>
        <w:bidi w:val="0"/>
        <w:spacing w:before="24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Our expense ratio increased to 30.3% for the year ended December 31, 2025 from 29.5% for the year ended December 31, 2024, primarily due to a reduction in premiums earned from Citizens policies in the assumption period with reduced policy acquisition costs in 2024.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Combined ratio. </w:t>
      </w:r>
      <w:r>
        <w:rPr>
          <w:rFonts w:ascii="Times New Roman" w:hAnsi="Times New Roman"/>
          <w:color w:val="000000"/>
          <w:sz w:val="20"/>
        </w:rPr>
        <w:t xml:space="preserve">Our combined ratio decreased to 52.1% for the year ended December 31, 2025 from 72.3% for the year ended December 31, 2024, primarily as a result of increased net premiums earned from increased policies in force and a decrease in catastrophe losses from non-hurricane weather activity. </w:t>
      </w:r>
    </w:p>
    <w:p>
      <w:pPr>
        <w:pStyle w:val="TextBody"/>
        <w:bidi w:val="0"/>
        <w:spacing w:before="240" w:after="283"/>
        <w:jc w:val="left"/>
        <w:rPr>
          <w:rFonts w:ascii="Times New Roman" w:hAnsi="Times New Roman"/>
          <w:sz w:val="20"/>
        </w:rPr>
      </w:pPr>
      <w:r>
        <w:rPr>
          <w:rFonts w:ascii="Times New Roman" w:hAnsi="Times New Roman"/>
          <w:i/>
          <w:color w:val="000000"/>
          <w:sz w:val="20"/>
        </w:rPr>
        <w:t>Policy acquisition expense ratio</w:t>
      </w:r>
      <w:r>
        <w:rPr>
          <w:rFonts w:ascii="Times New Roman" w:hAnsi="Times New Roman"/>
          <w:color w:val="000000"/>
          <w:sz w:val="20"/>
        </w:rPr>
        <w:t xml:space="preserve">. Our policy acquisition expense ratio increased to 12.9% for the year ended December 31, 2025 from 10.8% for the year ended December 31, 2024, primarily as a result of a reduction in premiums earned from Citizens' policies in the assumption period with reduced policy acquisition costs in 2024. </w:t>
      </w:r>
    </w:p>
    <w:p>
      <w:pPr>
        <w:pStyle w:val="TextBody"/>
        <w:bidi w:val="0"/>
        <w:spacing w:before="240" w:after="283"/>
        <w:jc w:val="left"/>
        <w:rPr>
          <w:rFonts w:ascii="Times New Roman" w:hAnsi="Times New Roman"/>
          <w:sz w:val="20"/>
        </w:rPr>
      </w:pPr>
      <w:r>
        <w:rPr>
          <w:rFonts w:ascii="Times New Roman" w:hAnsi="Times New Roman"/>
          <w:i/>
          <w:color w:val="000000"/>
          <w:sz w:val="20"/>
        </w:rPr>
        <w:t>Debt to capitalization ratio</w:t>
      </w:r>
      <w:r>
        <w:rPr>
          <w:rFonts w:ascii="Times New Roman" w:hAnsi="Times New Roman"/>
          <w:color w:val="000000"/>
          <w:sz w:val="20"/>
        </w:rPr>
        <w:t xml:space="preserve">. Our debt to capitalization ratio decreased to 2.9% for the year ended December 31, 2025 from 8.3% for the year ended December 31 2024, primarily as a result of growth in retained earnings from net income and the IPO proceeds.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equity. </w:t>
      </w:r>
      <w:r>
        <w:rPr>
          <w:rFonts w:ascii="Times New Roman" w:hAnsi="Times New Roman"/>
          <w:color w:val="000000"/>
          <w:sz w:val="20"/>
        </w:rPr>
        <w:t xml:space="preserve">Our return on equity decreased to 57.4% for the year ended December 31, 2025 from 60.0% for the year ended December 31, 2024, as a result of growth in equity due to retained earnings and the IPO proceeds.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present our results of operations in a way that we believe will be the most meaningful and useful to investors, analysts, rating agencies and others who use our financial information to evaluate our performance. Some of the measurements are not required by, or presented in accordance with accounting principles generally accepted in the United States of America (“GAAP”) under SEC rules and regulations. We refer to these measures as “non-GAAP financial measures.” For example, in this Report, </w:t>
      </w:r>
      <w:r>
        <w:rPr>
          <w:rFonts w:ascii="Times New Roman" w:hAnsi="Times New Roman"/>
          <w:color w:val="231F20"/>
          <w:sz w:val="20"/>
        </w:rPr>
        <w:t>we present tangible shareholders’ equity and return on tangible equit</w:t>
      </w:r>
      <w:r>
        <w:rPr>
          <w:rFonts w:ascii="Times New Roman" w:hAnsi="Times New Roman"/>
          <w:color w:val="000000"/>
          <w:sz w:val="20"/>
        </w:rPr>
        <w:t xml:space="preserve">y, which is a non-GAAP financial measure as defined in Item 10(e) of SEC Regulation S-K. We believe that non-GAAP financial measures, which may be defined and calculated differently by other companies, help explain and enhance the understanding of our results of operations. However, these measures should not be viewed as a substitute for those determined in accordance with GAAP. Reconciliations of our non-GAAP financial measures to the most comparable GAAP figures, for the periods presented follows: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Return on tangible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a reconciliation of return on tangible equity to return on equity, the most directly comparable GAAP measure:</w:t>
      </w:r>
    </w:p>
    <w:p>
      <w:pPr>
        <w:pStyle w:val="TextBody"/>
        <w:bidi w:val="0"/>
        <w:jc w:val="left"/>
        <w:rPr/>
      </w:pPr>
      <w:r>
        <w:rPr/>
        <w:t> </w:t>
      </w:r>
    </w:p>
    <w:tbl>
      <w:tblPr>
        <w:tblW w:w="7274" w:type="dxa"/>
        <w:jc w:val="left"/>
        <w:tblInd w:w="0" w:type="dxa"/>
        <w:tblLayout w:type="fixed"/>
        <w:tblCellMar>
          <w:top w:w="28" w:type="dxa"/>
          <w:left w:w="28" w:type="dxa"/>
          <w:bottom w:w="28" w:type="dxa"/>
          <w:right w:w="28" w:type="dxa"/>
        </w:tblCellMar>
      </w:tblPr>
      <w:tblGrid>
        <w:gridCol w:w="4136"/>
        <w:gridCol w:w="146"/>
        <w:gridCol w:w="211"/>
        <w:gridCol w:w="781"/>
        <w:gridCol w:w="271"/>
        <w:gridCol w:w="146"/>
        <w:gridCol w:w="211"/>
        <w:gridCol w:w="781"/>
        <w:gridCol w:w="591"/>
      </w:tblGrid>
      <w:tr>
        <w:trPr/>
        <w:tc>
          <w:tcPr>
            <w:tcW w:w="4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Average goodwill and other intangible</w:t>
              <w:br/>
              <w: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tangible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321,150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tangible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return on tangible equity decreased to 57.9% for the year ended December 31, 2025 from 62.6% for the year ended December 31, 2024, as a result of growth in equity due to an increase in retained earnings and IPO proceeds.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organized as a Delaware holding company with our operations primarily conducted by our wholly owned insurance company subsidiaries, SIC (domiciled in the State of Florida), Slide Specialty (domiciled in the State of Rhode Island), Slide Reinsurance Holdings, LLC (a holding company which owns 100% of shares of segregated cell T104 of White Rock Insurance (SAC) LTD.) and our services companies Slide MGA, LLC, Clegg Insurance Advisors, LLC D/B/A Homefront, STAT Claims Co., and Trusted Mitigation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holding company may receive cash through (i) capital contributions or issuance of equity and debt securities, (ii) dividends from our insurance company subsidiaries and (iii) distributions from our services companies. We may use these proceeds to contribute funds to our insurance company subsidiaries to support growth, pay dividends, pay taxes, or for other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can only pay dividends to the holding company out of its available and accumulated surplus funds, which are derived from realized net operating profits on its business and net unrealized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dividends were paid by SIC in 2025 and 2024. Florida Statute Section 624.408 requires SIC to maintain a minimum level of surplus of not less than the greater of 10% of its total liabilities, or $15.0 million. Based on this requirement, SIC was required to maintain capital and surplus of $111.6 million and $70.8 million as of December 31, 2025 and 2024, respectively. As of December 31, 2025, and 2024, SIC’s statutory-basis surplus totaled $417.9 million and $208.0 million, meeting the minimum surplus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we had $1.683 billion and $789.8 million, respectively, in cash, cash equivalents and restricted cash, which primarily consisted of cash, money market accounts and US Treasury bills. We intend to maintain substantial cash or cash-equivalent balances during hurricane season to meet seasonal liquidity needs relating to potential catastrophic losses. However, in the event of a failure of the financial institution, there is a chance we may be unable to access such funds and may incur a loss to the extent such balance exceeds the FDIC insurance limits, which could have a negative impact on our liquidity and financial condition.</w:t>
      </w:r>
    </w:p>
    <w:p>
      <w:pPr>
        <w:pStyle w:val="TextBody"/>
        <w:bidi w:val="0"/>
        <w:spacing w:before="240" w:after="283"/>
        <w:jc w:val="left"/>
        <w:rPr>
          <w:rFonts w:ascii="Times New Roman" w:hAnsi="Times New Roman"/>
          <w:sz w:val="20"/>
        </w:rPr>
      </w:pPr>
      <w:r>
        <w:rPr>
          <w:rFonts w:ascii="Times New Roman" w:hAnsi="Times New Roman"/>
          <w:color w:val="000000"/>
          <w:sz w:val="20"/>
        </w:rPr>
        <w:t>Our insurance subsidiaries generate cash through premium collections, investment income and the sale or maturity of invested assets. During our start-up phase, we funded our working capital requirements primarily through private sales of equity. We received net proceeds of approximately $123.5 million primarily from equity issuances through December 31, 2024 and $263.3 million from the IPO proceeds. See “—</w:t>
      </w:r>
      <w:r>
        <w:rPr>
          <w:rFonts w:ascii="Times New Roman" w:hAnsi="Times New Roman"/>
          <w:i/>
          <w:color w:val="000000"/>
          <w:sz w:val="20"/>
        </w:rPr>
        <w:t>Equity Issuances</w:t>
      </w:r>
      <w:r>
        <w:rPr>
          <w:rFonts w:ascii="Times New Roman" w:hAnsi="Times New Roman"/>
          <w:color w:val="000000"/>
          <w:sz w:val="20"/>
        </w:rPr>
        <w:t>.” We use our cash to pay reinsurance premiums, losses and loss adjustment expenses incurred, net, policy acquisition and other underwriting expenses, salaries and employee benefits and other expenses, as well as to purchase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can provide no assurances, we believe that the net proceeds from our IPO, together with our available cash, cash equivalents, and restricted cash balance and cash generated from operations, should be sufficient to meet our working capital requirements and other capital expenditures for the next twelve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most significant source of cash is from premiums received from insureds, net of the related commission amount for the policies. Our most significant cash outflows are for claims that arise when a policyholder incurs an insured loss and for catastrophe excess of loss reinsurance. Because the payment of claims occurs after the receipt of the premium, often years later, we invest the cash in various investment securities that generally earn interest and dividends. The table below summarizes our net cash flow.</w:t>
      </w:r>
    </w:p>
    <w:p>
      <w:pPr>
        <w:pStyle w:val="TextBody"/>
        <w:bidi w:val="0"/>
        <w:jc w:val="left"/>
        <w:rPr/>
      </w:pPr>
      <w:r>
        <w:rPr/>
        <w:t> </w:t>
      </w:r>
    </w:p>
    <w:tbl>
      <w:tblPr>
        <w:tblW w:w="7628" w:type="dxa"/>
        <w:jc w:val="left"/>
        <w:tblInd w:w="0" w:type="dxa"/>
        <w:tblLayout w:type="fixed"/>
        <w:tblCellMar>
          <w:top w:w="28" w:type="dxa"/>
          <w:left w:w="28" w:type="dxa"/>
          <w:bottom w:w="28" w:type="dxa"/>
          <w:right w:w="28" w:type="dxa"/>
        </w:tblCellMar>
      </w:tblPr>
      <w:tblGrid>
        <w:gridCol w:w="2536"/>
        <w:gridCol w:w="146"/>
        <w:gridCol w:w="196"/>
        <w:gridCol w:w="751"/>
        <w:gridCol w:w="166"/>
        <w:gridCol w:w="146"/>
        <w:gridCol w:w="196"/>
        <w:gridCol w:w="751"/>
        <w:gridCol w:w="166"/>
        <w:gridCol w:w="146"/>
        <w:gridCol w:w="146"/>
        <w:gridCol w:w="691"/>
        <w:gridCol w:w="146"/>
        <w:gridCol w:w="146"/>
        <w:gridCol w:w="146"/>
        <w:gridCol w:w="661"/>
        <w:gridCol w:w="30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 ended December 31, 2025, cash flows provided by operating activities was $797.4 million, an increase of $243.5 million from the year ended December 31, 2024, driven by an increase in net income. For the year ended December 31, 2025, cash flows used in investing activities was $115.2 million, a decrease of $88.8 million from the year ended December 31, 2024, driven by the reduced purchases of fixed-maturity securities available-for-sale. For the year ended December 31, 2025, cash flows provided by financing activities was $210.9 million, an increase of $213.3 million from the year ended December 31, 2024, driven by the IPO proceeds.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25, 2024, we entered into an amended and restated credit agreement with Regions Bank for a $10.0 million revolving credit facility, which was increased to $45.0 million pursuant to an accordion feature on March 20, 2025, a term loan in an aggregate principal amount of $40.0 million and one or more delayed draw term loans in an aggregate principal amount not to exceed $125.0 million (together, the “Credit Facility”). Pursuant to the terms of the Credit Facility, we may from time to time establish one or more additional term loans subject to certain conditions precedent contained therein. The Credit Facility is guaranteed by certain of our subsidiaries and is secured by certain of our cash and deposit account balances. The Credit Facility matures on June 25, 2029. At December 31, 2025, the Company had no borrowings outstanding under the revolving credit facility and an outstanding balance of $34.0 million on the term loan. At December 31, 2025, the Company was in compliance with all required covenants and had available borrowing capacity of $170.0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Facility accrues interest at (i) for base rate loans, the highest of (a) the prime rate, (b) the federal funds rate, as in effect from time to time, plus 0.50% per annum, (c) the term secured overnight financing rate (“SOFR”) in effect on such day for a forward-looking interest period of one month commencing on such day, plus 1.00% per annum, and (d) the floor of 0.00% per annum, in each case plus an applicable margin of (x) if the consolidated total leverage ratio, as defined in the Credit Facility, is less than 1.00:1.00, 2.25%, (y) if the consolidated total leverage ratio is greater than or equal to 1.00:1.00 but less than 1.50:1.00, 2.50% or (z) if the consolidated total leverage ratio is greater than or equal to 1.50:1.00, 2.75%, and (ii) for SOFR based loans, the rate per annum equal to the SOFR reference rate for a forward-looking tenor comparable to the then applicable or selected (as applicable) interest period, determined as of a periodic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SOFR determination date, or the floor of 0.00% per annum, if applicable, plus an applicable margin of (x) if the consolidated total leverage ratio is less than 1.00:1.00, 3.25%, (y) if the consolidated total leverage ratio is greater than or equal to 1.00:1.00 but less than 1.50:1.00, 3.50% or (z) if the consolidated total leverage ratio is greater than or equal to 1.50:1.00, 3.75%.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Line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January 1, 2024, we had an undrawn Line of Credit in the amount of $0.2 million. The line of credit was closed in March 2024. At December 31, 2025, we do not maintain any other off-balance sheet arrangements. Please see Note 18, Commitments and Contingencies, in the notes to our financial statements included elsewhere in this Report for more information. We do not maintain any other off-balance sheet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Seasonality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business is seasonal as hurricanes typically occur during the period from June 1 through November 30 each year. With our catastrophe reinsurance program effective on June 1 each year, any variation in the cost of our reinsurance, whether due to changes to reinsurance rates or changes in the total insured value of our policy base, will occur and be reflected in our financial results beginning June 1 of each year, subject to certain adjustments.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Taxation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Deferred Tax Asset and Current Tax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report a deferred tax asset arising from the portion 20% of unearned premiums that are recognized as taxable income in advance of being earned and recognized as income for financial reporting purposes. Accordingly, our income taxes currently paid and payable also reflect this temporary difference between taxable income and earned income reported in our financial statements. Our increase in unearned premium reserves and the associated discount represent approximately $42.1 million. The offset of deferred tax liability for deferred acquisition costs is approximately $23.8 million. The increases in our deferred tax asset from December 31, 2024 through December 31, 2025 reflect the significant unearned premiums arising from our assumption transactions and the additional resulting temporary differences due to certain amounts being taxable in advance of being recognized as earned for financial reporting purposes.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illustrates our contractual obligations and commercial commitments by due date as of December 31, 2025:</w:t>
      </w:r>
    </w:p>
    <w:p>
      <w:pPr>
        <w:pStyle w:val="TextBody"/>
        <w:bidi w:val="0"/>
        <w:jc w:val="left"/>
        <w:rPr/>
      </w:pPr>
      <w:r>
        <w:rPr/>
        <w:t> </w:t>
      </w:r>
    </w:p>
    <w:tbl>
      <w:tblPr>
        <w:tblW w:w="9970" w:type="dxa"/>
        <w:jc w:val="left"/>
        <w:tblInd w:w="0" w:type="dxa"/>
        <w:tblLayout w:type="fixed"/>
        <w:tblCellMar>
          <w:top w:w="28" w:type="dxa"/>
          <w:left w:w="28" w:type="dxa"/>
          <w:bottom w:w="28" w:type="dxa"/>
          <w:right w:w="28" w:type="dxa"/>
        </w:tblCellMar>
      </w:tblPr>
      <w:tblGrid>
        <w:gridCol w:w="3541"/>
        <w:gridCol w:w="146"/>
        <w:gridCol w:w="211"/>
        <w:gridCol w:w="781"/>
        <w:gridCol w:w="146"/>
        <w:gridCol w:w="146"/>
        <w:gridCol w:w="211"/>
        <w:gridCol w:w="781"/>
        <w:gridCol w:w="146"/>
        <w:gridCol w:w="146"/>
        <w:gridCol w:w="213"/>
        <w:gridCol w:w="792"/>
        <w:gridCol w:w="146"/>
        <w:gridCol w:w="146"/>
        <w:gridCol w:w="242"/>
        <w:gridCol w:w="778"/>
        <w:gridCol w:w="146"/>
        <w:gridCol w:w="146"/>
        <w:gridCol w:w="305"/>
        <w:gridCol w:w="610"/>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One Year to</w:t>
              <w:br/>
              <w:t>Less Than</w:t>
              <w:br/>
              <w:t>Three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Years</w:t>
              <w:br/>
              <w:t>to Less Than</w:t>
              <w:br/>
              <w:t>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Five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and loss adjustment expense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securities and credit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payable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Interest on the Credit Facility is calculated using 7.09% in effect at December 31, 2025 with the assumption that interest rates remain flat over the remainder of the period that the Credit Facility is outstanding. At our option, we may prepay the Credit Facility, in whole or in part, without premium or penalty.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Reserves for losses and LAE represent our best estimate of the ultimate cost of settling reported and unreported claims and related expenses. Estimating reserves for losses and LAE is based on various complex and subjective judgments. Actual losses and settlement expenses paid may deviate, perhaps substantially, from the reserve estimates reflected in our financial statements. Similarly, the timing for payment of our estimated losses is not fixed and is not determinable on an individual or aggregate basis. The assumptions used in estimating the payments due by period are based on our own, industry and peer group claims payment experience. Due to the uncertainty inherent in the process of estimating the timing of such payments, there is a risk that the amounts paid in any period will be significantly different than the amounts disclosed above. Amounts disclosed above are gross of anticipated amounts recoverable from reinsurers. Reinsurance balances recoverable on reserves for losses and LAE are reported separately as assets, instead of being netted with the related liabilities, since reinsurance does not discharge us of our liability to policyholders. Reinsurance balances recoverable on reserves for paid and unpaid losses and LAE totaled $146.1 million and $341.1 million at December 31, 2025 and December 31, 2024,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stockholders’ equity was $1,113.2 million and $433.2 million, respectively. The increase was primarily due to increased retained earnings.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determines our investment guidelines in compliance with applicable regulatory restrictions on asset type, quality and concentration.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and invested assets consist of cash and cash equivalents, fixed maturity securities and equity securities. As of December 31, 2025, the majority of our investments, or $588.2 million, was comprised of fixed income securities rated BBB- or better. Our investments also include $4.0 million of other securities. In addition, we maintained a non-restricted cash and cash equivalent balance of $1,201.2 million and a restricted cash balance of $481.8 million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majority of our investments, or $464.8 million, was comprised of fixed income securities rated BBB- or better. Also included in our investments were $4.5 million of other investments. In addition, we maintained a non-restricted cash and cash equivalent balance of $493.4 million and a restricted cash balance of $296.4 million as of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the amortized cost and fair value on available for sale securities were as follows.</w:t>
      </w:r>
    </w:p>
    <w:p>
      <w:pPr>
        <w:pStyle w:val="TextBody"/>
        <w:bidi w:val="0"/>
        <w:jc w:val="left"/>
        <w:rPr/>
      </w:pPr>
      <w:r>
        <w:rPr/>
        <w:t> </w:t>
      </w:r>
    </w:p>
    <w:tbl>
      <w:tblPr>
        <w:tblW w:w="8446" w:type="dxa"/>
        <w:jc w:val="left"/>
        <w:tblInd w:w="0" w:type="dxa"/>
        <w:tblLayout w:type="fixed"/>
        <w:tblCellMar>
          <w:top w:w="28" w:type="dxa"/>
          <w:left w:w="28" w:type="dxa"/>
          <w:bottom w:w="28" w:type="dxa"/>
          <w:right w:w="28" w:type="dxa"/>
        </w:tblCellMar>
      </w:tblPr>
      <w:tblGrid>
        <w:gridCol w:w="4486"/>
        <w:gridCol w:w="146"/>
        <w:gridCol w:w="211"/>
        <w:gridCol w:w="781"/>
        <w:gridCol w:w="146"/>
        <w:gridCol w:w="146"/>
        <w:gridCol w:w="211"/>
        <w:gridCol w:w="781"/>
        <w:gridCol w:w="146"/>
        <w:gridCol w:w="146"/>
        <w:gridCol w:w="214"/>
        <w:gridCol w:w="686"/>
        <w:gridCol w:w="34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Fixed Maturity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the U.S. Treasury and U.S. Government</w:t>
              <w:br/>
              <w: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7396" w:type="dxa"/>
        <w:jc w:val="left"/>
        <w:tblInd w:w="0" w:type="dxa"/>
        <w:tblLayout w:type="fixed"/>
        <w:tblCellMar>
          <w:top w:w="28" w:type="dxa"/>
          <w:left w:w="28" w:type="dxa"/>
          <w:bottom w:w="28" w:type="dxa"/>
          <w:right w:w="28" w:type="dxa"/>
        </w:tblCellMar>
      </w:tblPr>
      <w:tblGrid>
        <w:gridCol w:w="3436"/>
        <w:gridCol w:w="146"/>
        <w:gridCol w:w="211"/>
        <w:gridCol w:w="781"/>
        <w:gridCol w:w="146"/>
        <w:gridCol w:w="146"/>
        <w:gridCol w:w="211"/>
        <w:gridCol w:w="781"/>
        <w:gridCol w:w="146"/>
        <w:gridCol w:w="146"/>
        <w:gridCol w:w="183"/>
        <w:gridCol w:w="717"/>
        <w:gridCol w:w="34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Fixed 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the U.S. Treasury and U.S.</w:t>
              <w:br/>
              <w:t>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state and political</w:t>
              <w:br/>
              <w:t>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foreign governments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provide the credit quality of available for sale investments as of December 31, 2025, and 2024:</w:t>
      </w:r>
    </w:p>
    <w:p>
      <w:pPr>
        <w:pStyle w:val="TextBody"/>
        <w:bidi w:val="0"/>
        <w:jc w:val="left"/>
        <w:rPr/>
      </w:pPr>
      <w:r>
        <w:rPr/>
        <w:t> </w:t>
      </w:r>
    </w:p>
    <w:tbl>
      <w:tblPr>
        <w:tblW w:w="7096"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46"/>
        <w:gridCol w:w="146"/>
        <w:gridCol w:w="214"/>
        <w:gridCol w:w="686"/>
        <w:gridCol w:w="3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7096"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46"/>
        <w:gridCol w:w="146"/>
        <w:gridCol w:w="183"/>
        <w:gridCol w:w="717"/>
        <w:gridCol w:w="3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464,585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amortized cost and fair value of our available for sale investments in fixed maturity securities summarized by contractual maturity as of December 31, 2025, and 2024 are displayed in the tables below. Expected maturities may differ from contractual maturities because borrowers may have the right to call or prepay obligations.</w:t>
      </w:r>
    </w:p>
    <w:p>
      <w:pPr>
        <w:pStyle w:val="TextBody"/>
        <w:bidi w:val="0"/>
        <w:jc w:val="left"/>
        <w:rPr/>
      </w:pPr>
      <w:r>
        <w:rPr/>
        <w:t> </w:t>
      </w:r>
    </w:p>
    <w:tbl>
      <w:tblPr>
        <w:tblW w:w="7096"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46"/>
        <w:gridCol w:w="146"/>
        <w:gridCol w:w="214"/>
        <w:gridCol w:w="686"/>
        <w:gridCol w:w="3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 through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096"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46"/>
        <w:gridCol w:w="146"/>
        <w:gridCol w:w="183"/>
        <w:gridCol w:w="717"/>
        <w:gridCol w:w="3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ten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Preparation of financial statements in accordance with GAAP requires management to make estimates and assumptions about future events. These estimates and the underlying assumptions affect the amounts of assets and liabilities reported, disclosures about contingent assets and liabilities and reported amounts of revenues and expenses. We believe that the accounting estimates discussed below represent the accounting estimates requiring the exercise of judgment where a different set of judgments could result in the greatest changes to reported results. Our current critical accounting policies and estimates are as follows:</w:t>
      </w:r>
    </w:p>
    <w:p>
      <w:pPr>
        <w:pStyle w:val="TextBody"/>
        <w:bidi w:val="0"/>
        <w:spacing w:before="240" w:after="283"/>
        <w:jc w:val="left"/>
        <w:rPr>
          <w:rFonts w:ascii="Times New Roman" w:hAnsi="Times New Roman"/>
          <w:sz w:val="20"/>
        </w:rPr>
      </w:pPr>
      <w:r>
        <w:rPr>
          <w:rFonts w:ascii="Times New Roman" w:hAnsi="Times New Roman"/>
          <w:i/>
          <w:color w:val="000000"/>
          <w:sz w:val="20"/>
        </w:rPr>
        <w:t>Premiums</w:t>
      </w:r>
      <w:r>
        <w:rPr>
          <w:rFonts w:ascii="Times New Roman" w:hAnsi="Times New Roman"/>
          <w:color w:val="000000"/>
          <w:sz w:val="20"/>
        </w:rPr>
        <w:t>. We record direct and assumed written premiums as revenue, net of ceded amounts, on a daily pro rata basis over the contract period of the related policies that are in force. For any portion of premiums not earned at the end of the reporting period, we record an unearned premium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receive premium payments from policyholders prior to the effective date of the related policy, we record an advance premium liability. On the policy effective date, we reduce the advance premium liability and record the premiums.</w:t>
      </w:r>
    </w:p>
    <w:p>
      <w:pPr>
        <w:pStyle w:val="TextBody"/>
        <w:bidi w:val="0"/>
        <w:spacing w:before="240" w:after="283"/>
        <w:jc w:val="left"/>
        <w:rPr>
          <w:rFonts w:ascii="Times New Roman" w:hAnsi="Times New Roman"/>
          <w:sz w:val="20"/>
        </w:rPr>
      </w:pPr>
      <w:r>
        <w:rPr>
          <w:rFonts w:ascii="Times New Roman" w:hAnsi="Times New Roman"/>
          <w:i/>
          <w:color w:val="000000"/>
          <w:sz w:val="20"/>
        </w:rPr>
        <w:t>Reserves for unpaid losses and loss adjustment expenses incurred, net</w:t>
      </w:r>
      <w:r>
        <w:rPr>
          <w:rFonts w:ascii="Times New Roman" w:hAnsi="Times New Roman"/>
          <w:color w:val="000000"/>
          <w:sz w:val="20"/>
        </w:rPr>
        <w:t>. Reserves for unpaid losses and loss adjustment expenses incurred, net, also referred to as loss reserves, represent the most significant accounting estimate inherent in the preparation of our financial statements. These reserves represent management’s best estimate of the amount we will ultimately pay for losses and loss adjustment expenses incurred, net and we base the amount upon the application of various actuarial reserve estimation techniques as well as considering other material facts and circumstances known at the balance sheet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establish two categories of loss reserves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Case reserves—When a claim is reported, we establish an initial estimate of the losses that will ultimately be paid on the reported claim. Our initial estimate for each claim is based upon the judgment of our claims professionals who are familiar with property and liability losses associated with the coverage offered by our policies. Then, our claims personnel perform an evaluation of the type of claim involved, the circumstances surrounding each claim and the policy provisions relating to the loss and adjust the reserve as necessary. As claims mature, we increase or decrease the reserve estimates as deemed necessary by our claims department based upon additional information we receive regarding the loss, the results of on-site reviews and any other information we gather while reviewing the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IBNR reserves—Our IBNR reserves include true IBNR reserves plus “bulk” reserves. True IBNR reserves represent amounts related to claims for which a loss occurred on or before the date of the financial statements but which have not yet been reported to us. Bulk reserves represent additional amounts that cannot be allocated to particular claims, but which are necessary to estimate ultimate losses on known claims. We estimate our IBNR reserves by projecting our ultimate losses using industry accepted actuarial methods and then deducting actual loss payments and case reserves from the projected ultimate losses. We review and adjust our IBNR reserves on a quarterly basis based on information available to us at the balance sheet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establish our reserves, we analyze various factors such as the evolving historical loss experience of the insurance industry as well as our experience, claims frequency and severity, our business mix, our claims processing procedures, legislative enactments, judicial decisions and legal developments in imposition of damages, and general economic conditions, including inflation. A change in any of these factors from the assumptions implicit in our estimates will cause our ultimate loss experience to be better or worse than indicated by our reserves, and the difference could be material. Due to the interaction of the foregoing factors, there is no precise method for evaluating the impact of any one specific factor in isolation, and an element of judgment is ultimately required. Due to the uncertain nature of any projection of the future, the ultimate amount we will pay for losses will be different from the reserves we record.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determine our ultimate loss reserves by selecting a point estimate within a relevant range of indications that we calculate using generally accepted actuarial techniques. Our selection of the point estimate is influenced by the analysis of our paid losses and incurred losses since inception, as well as industry information relevant to the population of exposures drawn from Citizens. At our current level of experience, industry information strongly influences the basis for estimates of claims related factors. We expect that our loss experience will be of growing significance in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reserves as of December 31, 2025 were in excess of the reserves estimated and evaluated by our Chief Actuarial Officer to be necessary to meet the requirements of the insurance laws of Florida, be consistent with reserves computed in accordance with accepted loss reserving standards and principles, and make a reasonable provision for all unpaid loss and loss adjustment expense obligations under the terms of our contracts and agreements. In addition to $98.4 million of recorded case reserves, we recorded $341.3 million of IBNR reserves as of December 31, 2025 to achieve overall reserves of $439.7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establishing our reserves is complex and necessarily imprecise, as it involves using judgment that is affected by many variables. We believe a reasonably likely change in almost any of the factors we evaluate as part of our loss reserve analysis could have an impact on our reported results, financial position and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quantifies the impact of changes in our loss reserves on our net income, stockholders’ equity and liquidity as of and for the year ended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2"/>
        <w:gridCol w:w="146"/>
        <w:gridCol w:w="211"/>
        <w:gridCol w:w="931"/>
        <w:gridCol w:w="146"/>
        <w:gridCol w:w="146"/>
        <w:gridCol w:w="211"/>
        <w:gridCol w:w="931"/>
        <w:gridCol w:w="146"/>
        <w:gridCol w:w="146"/>
        <w:gridCol w:w="215"/>
        <w:gridCol w:w="776"/>
        <w:gridCol w:w="305"/>
        <w:gridCol w:w="146"/>
        <w:gridCol w:w="211"/>
        <w:gridCol w:w="931"/>
        <w:gridCol w:w="146"/>
        <w:gridCol w:w="146"/>
        <w:gridCol w:w="215"/>
        <w:gridCol w:w="776"/>
        <w:gridCol w:w="352"/>
      </w:tblGrid>
      <w:tr>
        <w:trPr/>
        <w:tc>
          <w:tcPr>
            <w:tcW w:w="2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w:t>
              <w:br/>
              <w:t>Estimate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br/>
              <w:t>from</w:t>
              <w:br/>
              <w:t>Actual</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w:t>
              <w:br/>
              <w:t>Estimate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br/>
              <w:t>from</w:t>
              <w:br/>
              <w:t>Actual</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5"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 in thousands)</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Impact 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cash, cash equivalents and investments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Adjusted cash, cash equivalents and investments is intended to present a measure of future liquidity and consists of cash, cash equivalents and investments, less loss reserves, net of taxes, assuming a 24.66% tax rate.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Reinsurance. </w:t>
      </w:r>
      <w:r>
        <w:rPr>
          <w:rFonts w:ascii="Times New Roman" w:hAnsi="Times New Roman"/>
          <w:color w:val="000000"/>
          <w:sz w:val="20"/>
        </w:rPr>
        <w:t>We follow industry practice of reinsuring a portion of our risks. Reinsurance involves transferring, or “ceding,” all or a portion of the risk exposure on policies we write to another insurer, known as a reinsurer. To the extent that our reinsurers are unable to meet the obligations they assume under our reinsurance agreements, we remain liable for the entire insured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reinsurance agreements are short-term, prospective contracts. We record an asset, prepaid reinsurance premiums, and a liability, reinsurance payable, for the entire contract amount upon commencement of our new reinsurance agreements. We amortize our prepaid reinsurance premiums over the applicable contract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we incur losses recoverable under our reinsurance program, we record amounts recoverable from our reinsurers on paid losses plus an estimate of amounts recoverable on unpaid losses. The estimate of amounts recoverable on unpaid losses is a function of our liability for unpaid losses associated with the reinsured policies; therefore, the amount changes in conjunction with any changes to our estimate of unpaid losses. Though an estimate of amounts recoverable from reinsurers on unpaid losses may change at any point in the future because of its relation to our reserves for unpaid losses, a reasonable probability exists that an estimated recovery may change significantly in the near term from the amounts included in our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estimate uncollectible amounts receivable from reinsurers based on an assessment of factors including the creditworthiness of the reinsurers and the adequacy of collateral obtained, where applicable. We recorded no amounts uncollectible under our reinsurance program or bad debt expense related to reinsurance during the year ended December 31, 2025, or the year ended December 31, 2024.</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Investments. </w:t>
      </w:r>
      <w:r>
        <w:rPr>
          <w:rFonts w:ascii="Times New Roman" w:hAnsi="Times New Roman"/>
          <w:color w:val="000000"/>
          <w:sz w:val="20"/>
        </w:rPr>
        <w:t xml:space="preserve">We currently classify all of our investments in fixed-maturity securities as available-for-sale and report them at fair value. Subsequent to our acquisition of available-for-sale securities, we record changes in value through the date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disposition as unrealized holding gains and losses, net of tax effects, and include them as a component of other comprehensive income. We include realized gains and losses, which we calculate using the specific-identification method for determining the cost of securities sold, in net income. We amortize any premium or discount on investments over the remaining maturity period of the related investments using the effective interest method, and we report the amortization in net investment income. We recognize dividends and interest income when earned.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large portion of our investment portfolio consists of fixed-maturity securities, which may be adversely affected by changes in interest rates as a result of governmental monetary policies, domestic and international economic and political conditions and other factors beyond our control. A rise in interest rates would decrease the net unrealized holding gains of our investment portfolio, offset by our ability to earn higher rates of return on funds reinvested. Conversely, a decline in interest rates would increase the net unrealized holding gains of our investment portfolio, offset by lower rates of return on funds reinvested.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Fair Value. </w:t>
      </w:r>
      <w:r>
        <w:rPr>
          <w:rFonts w:ascii="Times New Roman" w:hAnsi="Times New Roman"/>
          <w:color w:val="000000"/>
          <w:sz w:val="20"/>
        </w:rPr>
        <w:t>Fair value is the price that would be received to sell an asset or paid to transfer a liability in an orderly transaction between market participants (an exit price). When reporting the fair values of our financial instruments, we prioritize those fair value measurements into one of three levels based on the nature of the inputs,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1—Valuations based on quoted prices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2—Valuations based on observable inputs that do not meet the criteria for Level 1, including quoted prices in inactive markets and quoted prices in active markets for similar, but not identical instruments;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3—Valuations based on unobservable inputs, which are based upon the best available information when external market data is limited or unavailable.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estimate the fair value of our investments using the closing prices on the last business day of the reporting period, obtained from active markets. For securities for which quoted prices in active markets are unavailable, we use observable inputs such as quoted prices in inactive markets, quoted prices in active markets for similar instruments, benchmark interest rates, broker quotes and other relevant inputs. We do not have any investments in our portfolio which require us to use unobservable inputs. Our estimates of fair value reflect the interest rate environment that existed as of the close of business on December 31, 2024, and December 31, 2025. Changes in interest rates subsequent to December 31, 2024 or December 31, 2025 may affect the fair value of our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for the following financial instruments approximate their fair values at December 31, 2024, and December 31, 2025 because of their short-term nature: cash and cash equivalents, accrued investment income, premiums receivable, reinsurance payable, and accounts payable and accrued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determined that all recently issued accounting pronouncements will not have a material impact on our consolidated financial position, results of operations and cash flows, or do not apply to our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JOBS Act, emerging growth companies can also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the Company is (i)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7a_quantitative_and_qualitative"/>
      <w:bookmarkEnd w:id="12"/>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investment portfolios include fixed-maturity securities, the purposes of which are not for trading or speculation. Our main objective is to maximize after-tax investment income and maintain sufficient liquidity to meet policyholder obligations while minimizing market risk, which is the potential economic loss from adverse fluctuations in securities’ prices. We consider many factors including credit ratings, investment concentrations, regulatory requirements, anticipated fluctuation of interest rates, durations and market conditions in developing investment strategies. Investment securities are managed by BlackRock and are overseen by the investment committee appointed by the board of directors of SIC. Our investment portfolios are primarily exposed to interest rate risk and credit risk. We classify our fixed-maturity securities as available-for-sale and report any unrealized gains or losses, net of deferred income taxes, as a component of other comprehensive income within our shareholders’ equity. As such, any material temporary changes in their fair value can adversely impact the carrying value of our shareholders’ equity.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fixed-maturity securities are sensitive to potential losses resulting from unfavorable changes in interest rates. We manage the risk by analyzing anticipated movement in interest rates and considering our future capital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illustrates the impact of hypothetical changes in interest rates to the fair value of our fixed-maturity securities at December 31, 2025 ($ in thousands):</w:t>
      </w:r>
    </w:p>
    <w:p>
      <w:pPr>
        <w:pStyle w:val="TextBody"/>
        <w:bidi w:val="0"/>
        <w:jc w:val="left"/>
        <w:rPr/>
      </w:pPr>
      <w:r>
        <w:rPr/>
        <w:t> </w:t>
      </w:r>
    </w:p>
    <w:tbl>
      <w:tblPr>
        <w:tblW w:w="7114" w:type="dxa"/>
        <w:jc w:val="left"/>
        <w:tblInd w:w="0" w:type="dxa"/>
        <w:tblLayout w:type="fixed"/>
        <w:tblCellMar>
          <w:top w:w="28" w:type="dxa"/>
          <w:left w:w="28" w:type="dxa"/>
          <w:bottom w:w="28" w:type="dxa"/>
          <w:right w:w="28" w:type="dxa"/>
        </w:tblCellMar>
      </w:tblPr>
      <w:tblGrid>
        <w:gridCol w:w="2896"/>
        <w:gridCol w:w="146"/>
        <w:gridCol w:w="233"/>
        <w:gridCol w:w="862"/>
        <w:gridCol w:w="146"/>
        <w:gridCol w:w="146"/>
        <w:gridCol w:w="211"/>
        <w:gridCol w:w="736"/>
        <w:gridCol w:w="166"/>
        <w:gridCol w:w="146"/>
        <w:gridCol w:w="228"/>
        <w:gridCol w:w="822"/>
        <w:gridCol w:w="37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Hypothetical Change in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br/>
              <w:t>After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Estimated</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Increase</w:t>
              <w:br/>
              <w:t>(Decrease) in</w:t>
              <w:br/>
              <w:t>Estimated</w:t>
              <w:br/>
              <w:t>Fair Value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 basis point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 basis point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 basis point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 basis point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 basis point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 basis point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sz w:val="20"/>
        </w:rPr>
      </w:pPr>
      <w:r>
        <w:rPr>
          <w:rFonts w:ascii="Times New Roman" w:hAnsi="Times New Roman"/>
          <w:color w:val="000000"/>
          <w:sz w:val="20"/>
        </w:rPr>
        <w:t>Credit risk can expose us to potential losses arising principally from adverse changes in the financial condition of the issuers of our fixed-maturity securities. We mitigate the risk by primarily investing in fixed-maturity securities that are rated “BBB” or higher and diversifying our investment portfolio to avoid concentrations in any single issuer or business sector. Pursuant to our investment policy, only $1.0 million may be invested in below investment grade bonds. The duration of the financial instruments held in our portfolio that are subject to interest rate risk was 3.50 years and 3.29 years at December 31, 2025 and 2024, respectively. To the extent interest rates decrease during 2025, we anticipate the fair value of our fixed rate debt securities to be subject to increase. Credit risk results from uncertainty in a counterparty’s ability to meet its obligations. Credit risk is managed by maintaining a high credit quality fixed maturity securities portfolio. As of December 31, 2025, the estimated weighted average credit quality rating of the fixed maturity securities portfolio was AA-, at fair value, consistent with the average rating at December 31, 2024. For more information regarding the composition of our fixed-maturity securities portfolio, see “—</w:t>
      </w:r>
      <w:r>
        <w:rPr>
          <w:rFonts w:ascii="Times New Roman" w:hAnsi="Times New Roman"/>
          <w:i/>
          <w:color w:val="000000"/>
          <w:sz w:val="20"/>
        </w:rPr>
        <w:t>Financial Condition—Investment Portfolio</w:t>
      </w:r>
      <w:r>
        <w:rPr>
          <w:rFonts w:ascii="Times New Roman" w:hAnsi="Times New Roman"/>
          <w:color w:val="000000"/>
          <w:sz w:val="20"/>
        </w:rPr>
        <w:t>” above.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we did not have any material exposure to foreign currency related risk.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_8_financial_statements"/>
      <w:bookmarkEnd w:id="13"/>
      <w:r>
        <w:rPr>
          <w:rFonts w:ascii="Times New Roman" w:hAnsi="Times New Roman"/>
          <w:b/>
          <w:color w:val="000000"/>
          <w:sz w:val="20"/>
        </w:rPr>
        <w:t>Item 8. Financial Statements and Supplementary Data.</w:t>
      </w:r>
    </w:p>
    <w:p>
      <w:pPr>
        <w:pStyle w:val="TextBody"/>
        <w:bidi w:val="0"/>
        <w:spacing w:before="360" w:after="283"/>
        <w:jc w:val="left"/>
        <w:rPr>
          <w:rFonts w:ascii="Times New Roman" w:hAnsi="Times New Roman"/>
          <w:b/>
          <w:caps/>
          <w:color w:val="000000"/>
          <w:sz w:val="20"/>
        </w:rPr>
      </w:pPr>
      <w:bookmarkStart w:id="14" w:name="index_consolidated_financial_statements"/>
      <w:bookmarkEnd w:id="14"/>
      <w:r>
        <w:rPr>
          <w:rFonts w:ascii="Times New Roman" w:hAnsi="Times New Roman"/>
          <w:b/>
          <w:caps/>
          <w:color w:val="000000"/>
          <w:sz w:val="20"/>
        </w:rPr>
        <w:t>INDEX TO CONSOLIDATED FINANCIAL STATEMENTS</w:t>
      </w:r>
    </w:p>
    <w:p>
      <w:pPr>
        <w:pStyle w:val="TextBody"/>
        <w:bidi w:val="0"/>
        <w:jc w:val="left"/>
        <w:rPr/>
      </w:pPr>
      <w:r>
        <w:rPr/>
        <w:t> </w:t>
      </w:r>
    </w:p>
    <w:tbl>
      <w:tblPr>
        <w:tblW w:w="10033" w:type="dxa"/>
        <w:jc w:val="left"/>
        <w:tblInd w:w="0" w:type="dxa"/>
        <w:tblLayout w:type="fixed"/>
        <w:tblCellMar>
          <w:top w:w="28" w:type="dxa"/>
          <w:left w:w="28" w:type="dxa"/>
          <w:bottom w:w="28" w:type="dxa"/>
          <w:right w:w="28" w:type="dxa"/>
        </w:tblCellMar>
      </w:tblPr>
      <w:tblGrid>
        <w:gridCol w:w="9166"/>
        <w:gridCol w:w="146"/>
        <w:gridCol w:w="721"/>
      </w:tblGrid>
      <w:tr>
        <w:trPr/>
        <w:tc>
          <w:tcPr>
            <w:tcW w:w="9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9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Audited Annual Consolidated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pPr>
            <w:r>
              <w:rPr/>
              <w:t> </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FF"/>
                <w:sz w:val="20"/>
                <w:u w:val="single"/>
              </w:rPr>
            </w:pPr>
            <w:r>
              <w:rPr>
                <w:rFonts w:ascii="Times New Roman" w:hAnsi="Times New Roman"/>
                <w:color w:val="0000FF"/>
                <w:sz w:val="20"/>
                <w:u w:val="single"/>
              </w:rPr>
              <w:t>Report of Independent Registered Certified Public Accounting Firm (PCAOB ID: 686)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rFonts w:ascii="Times New Roman" w:hAnsi="Times New Roman"/>
                <w:color w:val="231F20"/>
                <w:sz w:val="20"/>
              </w:rPr>
            </w:pPr>
            <w:r>
              <w:rPr>
                <w:rFonts w:ascii="Times New Roman" w:hAnsi="Times New Roman"/>
                <w:color w:val="231F20"/>
                <w:sz w:val="20"/>
              </w:rPr>
              <w:t>73</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hyperlink w:anchor="consolidated_balance_sheet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rFonts w:ascii="Times New Roman" w:hAnsi="Times New Roman"/>
                <w:color w:val="231F20"/>
                <w:sz w:val="20"/>
              </w:rPr>
            </w:pPr>
            <w:r>
              <w:rPr>
                <w:rFonts w:ascii="Times New Roman" w:hAnsi="Times New Roman"/>
                <w:color w:val="231F20"/>
                <w:sz w:val="20"/>
              </w:rPr>
              <w:t>74</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solidated_statements_of_operations">
              <w:r>
                <w:rPr>
                  <w:rStyle w:val="InternetLink"/>
                  <w:rFonts w:ascii="Times New Roman" w:hAnsi="Times New Roman"/>
                  <w:color w:val="0000FF"/>
                  <w:sz w:val="20"/>
                  <w:u w:val="single"/>
                </w:rPr>
                <w:t>Consolidated Statement of Operations for Years Ended December 31, 2025 and 2024</w:t>
              </w:r>
            </w:hyperlink>
            <w:hyperlink w:anchor="consolidated_statements_of_operation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rFonts w:ascii="Times New Roman" w:hAnsi="Times New Roman"/>
                <w:color w:val="231F20"/>
                <w:sz w:val="20"/>
              </w:rPr>
            </w:pPr>
            <w:r>
              <w:rPr>
                <w:rFonts w:ascii="Times New Roman" w:hAnsi="Times New Roman"/>
                <w:color w:val="231F20"/>
                <w:sz w:val="20"/>
              </w:rPr>
              <w:t>75</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solidated_statements_of_comprehensive">
              <w:r>
                <w:rPr>
                  <w:rStyle w:val="InternetLink"/>
                  <w:rFonts w:ascii="Times New Roman" w:hAnsi="Times New Roman"/>
                  <w:color w:val="0000FF"/>
                  <w:sz w:val="20"/>
                  <w:u w:val="single"/>
                </w:rPr>
                <w:t>Consolidated Statement of Comprehensive Income for Years Ended December 31, 2025 and 2024</w:t>
              </w:r>
            </w:hyperlink>
            <w:hyperlink w:anchor="consolidated_statements_of_comprehensiv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rFonts w:ascii="Times New Roman" w:hAnsi="Times New Roman"/>
                <w:color w:val="231F20"/>
                <w:sz w:val="20"/>
              </w:rPr>
            </w:pPr>
            <w:r>
              <w:rPr>
                <w:rFonts w:ascii="Times New Roman" w:hAnsi="Times New Roman"/>
                <w:color w:val="231F20"/>
                <w:sz w:val="20"/>
              </w:rPr>
              <w:t>76</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solidated_statements_shareholders">
              <w:r>
                <w:rPr>
                  <w:rStyle w:val="InternetLink"/>
                  <w:rFonts w:ascii="Times New Roman" w:hAnsi="Times New Roman"/>
                  <w:color w:val="0000FF"/>
                  <w:sz w:val="20"/>
                  <w:u w:val="single"/>
                </w:rPr>
                <w:t>Consolidated Statement of Changes in Shareholders’ Equity for Years Ended December 31, 2025 and 2024</w:t>
              </w:r>
            </w:hyperlink>
            <w:hyperlink w:anchor="consolidated_statements_shareholder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rFonts w:ascii="Times New Roman" w:hAnsi="Times New Roman"/>
                <w:color w:val="231F20"/>
                <w:sz w:val="20"/>
              </w:rPr>
            </w:pPr>
            <w:r>
              <w:rPr>
                <w:rFonts w:ascii="Times New Roman" w:hAnsi="Times New Roman"/>
                <w:color w:val="231F20"/>
                <w:sz w:val="20"/>
              </w:rPr>
              <w:t>77</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solidated_statements_of_cash_flows">
              <w:r>
                <w:rPr>
                  <w:rStyle w:val="InternetLink"/>
                  <w:rFonts w:ascii="Times New Roman" w:hAnsi="Times New Roman"/>
                  <w:color w:val="0000FF"/>
                  <w:sz w:val="20"/>
                  <w:u w:val="single"/>
                </w:rPr>
                <w:t>Consolidated Cash Flow Statement for Years Ended December 31, 2025 and 2024</w:t>
              </w:r>
            </w:hyperlink>
            <w:hyperlink w:anchor="consolidated_statements_of_cash_flow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rFonts w:ascii="Times New Roman" w:hAnsi="Times New Roman"/>
                <w:color w:val="231F20"/>
                <w:sz w:val="20"/>
              </w:rPr>
            </w:pPr>
            <w:r>
              <w:rPr>
                <w:rFonts w:ascii="Times New Roman" w:hAnsi="Times New Roman"/>
                <w:color w:val="231F20"/>
                <w:sz w:val="20"/>
              </w:rPr>
              <w:t>78</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notes_to_consolidated_financial">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79</w:t>
            </w:r>
          </w:p>
        </w:tc>
      </w:tr>
      <w:tr>
        <w:trPr/>
        <w:tc>
          <w:tcPr>
            <w:tcW w:w="9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pPr>
            <w:r>
              <w:rPr/>
              <w:t> </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pPr>
            <w:r>
              <w:rPr/>
              <w:t> </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pPr>
            <w:r>
              <w:rPr/>
              <w:t> </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pPr>
            <w:r>
              <w:rPr/>
              <w:t> </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pPr>
            <w:r>
              <w:rPr/>
              <w:t> </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center"/>
              <w:rPr/>
            </w:pPr>
            <w:r>
              <w:rPr/>
              <w:t> </w:t>
            </w:r>
          </w:p>
        </w:tc>
      </w:tr>
      <w:tr>
        <w:trPr/>
        <w:tc>
          <w:tcPr>
            <w:tcW w:w="916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720"/>
        <w:jc w:val="both"/>
        <w:rPr>
          <w:rFonts w:ascii="Times New Roman" w:hAnsi="Times New Roman"/>
          <w:b/>
          <w:color w:val="000000"/>
          <w:sz w:val="20"/>
        </w:rPr>
      </w:pPr>
      <w:bookmarkStart w:id="15" w:name="report_of_independent_registered_public"/>
      <w:bookmarkEnd w:id="15"/>
      <w:r>
        <w:rPr>
          <w:rFonts w:ascii="Times New Roman" w:hAnsi="Times New Roman"/>
          <w:b/>
          <w:color w:val="000000"/>
          <w:sz w:val="20"/>
        </w:rPr>
        <w:t>Report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To the Shareholders and Audit Committee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Slide Insurance Holdings, Inc.</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Opinion on the Consolidated Financial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audited the accompanying consolidated balance sheets of Slide Insurance Holdings, Inc. (the “Company”) as of December 31, 2025 and 2024, the related consolidated statements of operations, comprehensive income, changes in shareholders’ equity, and cash flows, for each of the years in the two-year period ended December 31, 2025, and the related notes to consolidated financial statements (collectively referred to as the “financial statements”). In our opinion, the financial statements referred to above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Basis for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/s/ Forvis Mazars, LLP </w:t>
      </w:r>
    </w:p>
    <w:p>
      <w:pPr>
        <w:pStyle w:val="TextBody"/>
        <w:bidi w:val="0"/>
        <w:jc w:val="left"/>
        <w:rPr>
          <w:rFonts w:ascii="Times New Roman" w:hAnsi="Times New Roman"/>
          <w:color w:val="000000"/>
          <w:sz w:val="20"/>
        </w:rPr>
      </w:pPr>
      <w:r>
        <w:rPr>
          <w:rFonts w:ascii="Times New Roman" w:hAnsi="Times New Roman"/>
          <w:color w:val="000000"/>
          <w:sz w:val="20"/>
        </w:rPr>
        <w:t xml:space="preserve">Charlotte, North Carolina </w:t>
      </w:r>
    </w:p>
    <w:p>
      <w:pPr>
        <w:pStyle w:val="TextBody"/>
        <w:bidi w:val="0"/>
        <w:jc w:val="left"/>
        <w:rPr>
          <w:rFonts w:ascii="Times New Roman" w:hAnsi="Times New Roman"/>
          <w:sz w:val="20"/>
        </w:rPr>
      </w:pPr>
      <w:r>
        <w:rPr>
          <w:rFonts w:ascii="Times New Roman" w:hAnsi="Times New Roman"/>
          <w:color w:val="000000"/>
          <w:sz w:val="20"/>
        </w:rPr>
        <w:t>February 27</w:t>
      </w:r>
      <w:r>
        <w:rPr>
          <w:rFonts w:ascii="Times New Roman" w:hAnsi="Times New Roman"/>
          <w:color w:val="000000"/>
          <w:sz w:val="13"/>
        </w:rPr>
        <w:t>th</w:t>
      </w:r>
      <w:r>
        <w:rPr>
          <w:rFonts w:ascii="Times New Roman" w:hAnsi="Times New Roman"/>
          <w:color w:val="000000"/>
          <w:sz w:val="20"/>
        </w:rPr>
        <w:t>,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6" w:name="consolidated_balance_sheets"/>
      <w:bookmarkEnd w:id="16"/>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December 31, 2025 and 2024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per share and par value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2"/>
        <w:gridCol w:w="146"/>
        <w:gridCol w:w="196"/>
        <w:gridCol w:w="826"/>
        <w:gridCol w:w="146"/>
        <w:gridCol w:w="146"/>
        <w:gridCol w:w="196"/>
        <w:gridCol w:w="826"/>
        <w:gridCol w:w="591"/>
      </w:tblGrid>
      <w:tr>
        <w:trPr/>
        <w:tc>
          <w:tcPr>
            <w:tcW w:w="7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Fixed-maturity securities, available-for-sale, at estimated fair value (amortized costs: $580,122</w:t>
            </w:r>
            <w:r>
              <w:rPr>
                <w:rFonts w:ascii="Times New Roman" w:hAnsi="Times New Roman"/>
                <w:color w:val="000000"/>
                <w:sz w:val="20"/>
              </w:rPr>
              <w:t> </w:t>
            </w:r>
            <w:r>
              <w:rPr>
                <w:rFonts w:ascii="Times New Roman" w:hAnsi="Times New Roman"/>
                <w:color w:val="000000"/>
                <w:sz w:val="16"/>
              </w:rPr>
              <w:t>and $464,585, respectively and allowance for credit losses: $0</w:t>
            </w:r>
            <w:r>
              <w:rPr>
                <w:rFonts w:ascii="Times New Roman" w:hAnsi="Times New Roman"/>
                <w:color w:val="000000"/>
                <w:sz w:val="20"/>
              </w:rPr>
              <w:t> </w:t>
            </w:r>
            <w:r>
              <w:rPr>
                <w:rFonts w:ascii="Times New Roman" w:hAnsi="Times New Roman"/>
                <w:color w:val="000000"/>
                <w:sz w:val="16"/>
              </w:rPr>
              <w:t>and $0</w:t>
            </w:r>
            <w:r>
              <w:rPr>
                <w:rFonts w:ascii="Times New Roman" w:hAnsi="Times New Roman"/>
                <w:color w:val="000000"/>
                <w:sz w:val="20"/>
              </w:rPr>
              <w:t> </w:t>
            </w:r>
            <w:r>
              <w:rPr>
                <w:rFonts w:ascii="Times New Roman" w:hAnsi="Times New Roman"/>
                <w:color w:val="000000"/>
                <w:sz w:val="16"/>
              </w:rPr>
              <w:t>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464,966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invested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593,720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469,514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493,409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295,802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Assumed premiums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Premiums receivable, net of allowance for credit loss of $3,294</w:t>
            </w:r>
            <w:r>
              <w:rPr>
                <w:rFonts w:ascii="Times New Roman" w:hAnsi="Times New Roman"/>
                <w:color w:val="000000"/>
                <w:sz w:val="20"/>
              </w:rPr>
              <w:t> </w:t>
            </w:r>
            <w:r>
              <w:rPr>
                <w:rFonts w:ascii="Times New Roman" w:hAnsi="Times New Roman"/>
                <w:color w:val="000000"/>
                <w:sz w:val="16"/>
              </w:rPr>
              <w:t>and $2,295,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47,642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Reinsurance recoverable on paid losses, net of allowance for credit loss: $0</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Reinsurance recoverable on unpaid losses, net of allowance for credit loss: $0</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341,051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148,288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policy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65,046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lease asset,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2,918,465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1,931,927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and loss adjustment expense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696,310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Commissions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Advanced recoveries on reinsurance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Reinsurance premiums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rate swap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Premium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liability,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1,805,224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1,498,768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(par value $0.01, 1,500,000,000</w:t>
            </w:r>
            <w:r>
              <w:rPr>
                <w:rFonts w:ascii="Times New Roman" w:hAnsi="Times New Roman"/>
                <w:color w:val="000000"/>
                <w:sz w:val="20"/>
              </w:rPr>
              <w:t> </w:t>
            </w:r>
            <w:r>
              <w:rPr>
                <w:rFonts w:ascii="Times New Roman" w:hAnsi="Times New Roman"/>
                <w:color w:val="000000"/>
                <w:sz w:val="16"/>
              </w:rPr>
              <w:t>shares authorized, 123,889,446</w:t>
            </w:r>
            <w:r>
              <w:rPr>
                <w:rFonts w:ascii="Times New Roman" w:hAnsi="Times New Roman"/>
                <w:color w:val="000000"/>
                <w:sz w:val="20"/>
              </w:rPr>
              <w:t> </w:t>
            </w:r>
            <w:r>
              <w:rPr>
                <w:rFonts w:ascii="Times New Roman" w:hAnsi="Times New Roman"/>
                <w:color w:val="000000"/>
                <w:sz w:val="16"/>
              </w:rPr>
              <w:t>and 56,224,168</w:t>
            </w:r>
            <w:r>
              <w:rPr>
                <w:rFonts w:ascii="Times New Roman" w:hAnsi="Times New Roman"/>
                <w:color w:val="000000"/>
                <w:sz w:val="20"/>
              </w:rPr>
              <w:t> </w:t>
            </w:r>
            <w:r>
              <w:rPr>
                <w:rFonts w:ascii="Times New Roman" w:hAnsi="Times New Roman"/>
                <w:color w:val="000000"/>
                <w:sz w:val="16"/>
              </w:rPr>
              <w:t>issued and outstanding at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(par value $0.01, 150,000,000</w:t>
            </w:r>
            <w:r>
              <w:rPr>
                <w:rFonts w:ascii="Times New Roman" w:hAnsi="Times New Roman"/>
                <w:color w:val="000000"/>
                <w:sz w:val="20"/>
              </w:rPr>
              <w:t> </w:t>
            </w:r>
            <w:r>
              <w:rPr>
                <w:rFonts w:ascii="Times New Roman" w:hAnsi="Times New Roman"/>
                <w:color w:val="000000"/>
                <w:sz w:val="16"/>
              </w:rPr>
              <w:t>shares authorized, 0</w:t>
            </w:r>
            <w:r>
              <w:rPr>
                <w:rFonts w:ascii="Times New Roman" w:hAnsi="Times New Roman"/>
                <w:color w:val="000000"/>
                <w:sz w:val="20"/>
              </w:rPr>
              <w:t> </w:t>
            </w:r>
            <w:r>
              <w:rPr>
                <w:rFonts w:ascii="Times New Roman" w:hAnsi="Times New Roman"/>
                <w:color w:val="000000"/>
                <w:sz w:val="16"/>
              </w:rPr>
              <w:t>and 51,374,125</w:t>
            </w:r>
            <w:r>
              <w:rPr>
                <w:rFonts w:ascii="Times New Roman" w:hAnsi="Times New Roman"/>
                <w:color w:val="000000"/>
                <w:sz w:val="20"/>
              </w:rPr>
              <w:t> </w:t>
            </w:r>
            <w:r>
              <w:rPr>
                <w:rFonts w:ascii="Times New Roman" w:hAnsi="Times New Roman"/>
                <w:color w:val="000000"/>
                <w:sz w:val="16"/>
              </w:rPr>
              <w:t>issued and outstanding at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income (loss),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309,191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1,113,241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433,159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2,918,465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1,931,927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Consolidated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7" w:name="consolidated_statements_of_operations"/>
      <w:bookmarkEnd w:id="17"/>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years ended December 31, 2025 and 2024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per share amounts)</w:t>
      </w:r>
      <w:r>
        <w:rPr>
          <w:rFonts w:ascii="Times New Roman" w:hAnsi="Times New Roman"/>
          <w:color w:val="000000"/>
          <w:sz w:val="20"/>
        </w:rPr>
        <w:t xml:space="preserve"> </w:t>
      </w:r>
    </w:p>
    <w:p>
      <w:pPr>
        <w:pStyle w:val="TextBody"/>
        <w:bidi w:val="0"/>
        <w:jc w:val="center"/>
        <w:rPr/>
      </w:pPr>
      <w:r>
        <w:rPr/>
        <w:t> </w:t>
      </w:r>
    </w:p>
    <w:tbl>
      <w:tblPr>
        <w:tblW w:w="7834" w:type="dxa"/>
        <w:jc w:val="left"/>
        <w:tblInd w:w="0" w:type="dxa"/>
        <w:tblLayout w:type="fixed"/>
        <w:tblCellMar>
          <w:top w:w="28" w:type="dxa"/>
          <w:left w:w="28" w:type="dxa"/>
          <w:bottom w:w="28" w:type="dxa"/>
          <w:right w:w="28" w:type="dxa"/>
        </w:tblCellMar>
      </w:tblPr>
      <w:tblGrid>
        <w:gridCol w:w="4501"/>
        <w:gridCol w:w="146"/>
        <w:gridCol w:w="211"/>
        <w:gridCol w:w="931"/>
        <w:gridCol w:w="166"/>
        <w:gridCol w:w="146"/>
        <w:gridCol w:w="211"/>
        <w:gridCol w:w="931"/>
        <w:gridCol w:w="5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1,333,864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1,097,300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792,439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1,155,901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846,814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and loss adjustment expenses incurred,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Policy acquisition and 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576,839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Consolidated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8" w:name="consolidated_statements_of_comprehensive"/>
      <w:bookmarkEnd w:id="18"/>
      <w:r>
        <w:rPr>
          <w:rFonts w:ascii="Times New Roman" w:hAnsi="Times New Roman"/>
          <w:b/>
          <w:color w:val="000000"/>
          <w:sz w:val="20"/>
        </w:rPr>
        <w:t>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years ended December 31, 2025 and 2024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(Dollar amounts in thousands)</w:t>
      </w:r>
      <w:r>
        <w:rPr>
          <w:rFonts w:ascii="Times New Roman" w:hAnsi="Times New Roman"/>
          <w:color w:val="000000"/>
          <w:sz w:val="20"/>
        </w:rPr>
        <w:t xml:space="preserve"> </w:t>
      </w:r>
    </w:p>
    <w:p>
      <w:pPr>
        <w:pStyle w:val="TextBody"/>
        <w:bidi w:val="0"/>
        <w:jc w:val="center"/>
        <w:rPr/>
      </w:pPr>
      <w:r>
        <w:rPr/>
        <w:t> </w:t>
      </w:r>
    </w:p>
    <w:tbl>
      <w:tblPr>
        <w:tblW w:w="9804" w:type="dxa"/>
        <w:jc w:val="left"/>
        <w:tblInd w:w="0" w:type="dxa"/>
        <w:tblLayout w:type="fixed"/>
        <w:tblCellMar>
          <w:top w:w="28" w:type="dxa"/>
          <w:left w:w="28" w:type="dxa"/>
          <w:bottom w:w="28" w:type="dxa"/>
          <w:right w:w="28" w:type="dxa"/>
        </w:tblCellMar>
      </w:tblPr>
      <w:tblGrid>
        <w:gridCol w:w="6771"/>
        <w:gridCol w:w="146"/>
        <w:gridCol w:w="211"/>
        <w:gridCol w:w="781"/>
        <w:gridCol w:w="146"/>
        <w:gridCol w:w="146"/>
        <w:gridCol w:w="211"/>
        <w:gridCol w:w="781"/>
        <w:gridCol w:w="611"/>
      </w:tblGrid>
      <w:tr>
        <w:trPr/>
        <w:tc>
          <w:tcPr>
            <w:tcW w:w="6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gains (losses) on securities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income (loss),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 related to unrealized gains (losses) on investments</w:t>
              <w:br/>
              <w:t>   arising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 on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198,818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Consolidated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9" w:name="consolidated_statements_shareholders"/>
      <w:bookmarkEnd w:id="19"/>
      <w:r>
        <w:rPr>
          <w:rFonts w:ascii="Times New Roman" w:hAnsi="Times New Roman"/>
          <w:b/>
          <w:color w:val="000000"/>
          <w:sz w:val="20"/>
        </w:rPr>
        <w:t>Consolidated Statements of Changes in Shareholders’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years ended December 31, 2025 and 2024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146"/>
        <w:gridCol w:w="146"/>
        <w:gridCol w:w="841"/>
        <w:gridCol w:w="151"/>
        <w:gridCol w:w="146"/>
        <w:gridCol w:w="181"/>
        <w:gridCol w:w="436"/>
        <w:gridCol w:w="151"/>
        <w:gridCol w:w="146"/>
        <w:gridCol w:w="146"/>
        <w:gridCol w:w="811"/>
        <w:gridCol w:w="151"/>
        <w:gridCol w:w="146"/>
        <w:gridCol w:w="181"/>
        <w:gridCol w:w="376"/>
        <w:gridCol w:w="151"/>
        <w:gridCol w:w="146"/>
        <w:gridCol w:w="181"/>
        <w:gridCol w:w="586"/>
        <w:gridCol w:w="151"/>
        <w:gridCol w:w="146"/>
        <w:gridCol w:w="181"/>
        <w:gridCol w:w="586"/>
        <w:gridCol w:w="146"/>
        <w:gridCol w:w="146"/>
        <w:gridCol w:w="250"/>
        <w:gridCol w:w="666"/>
        <w:gridCol w:w="151"/>
        <w:gridCol w:w="146"/>
        <w:gridCol w:w="181"/>
        <w:gridCol w:w="691"/>
        <w:gridCol w:w="356"/>
      </w:tblGrid>
      <w:tr>
        <w:trPr/>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Shareholders’</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56,224,168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51,374,125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122,607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433,159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Exercise of vested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1,583,384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1,005,294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443,958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Conversion of Preferred Stock to Common Stock as part of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51,374,125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(51,374,125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16,666,667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263,333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263,500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withheld for taxes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(336,660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(2,627,532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(39,974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123,889,446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351,688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753,149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1,113,241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56,224,168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50,833,288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237,598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Repurchase and</w:t>
              <w:br/>
              <w:t>   retirement of</w:t>
              <w:br/>
              <w:t>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preferred</w:t>
              <w:br/>
              <w:t>   capital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661,837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201,125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w:t>
              <w:br/>
              <w: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56,224,168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51,374,125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122,607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433,159</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Consolidated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0" w:name="consolidated_statements_of_cash_flows"/>
      <w:bookmarkEnd w:id="20"/>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years ended December 31, 2025 and 2024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(Dollar amounts in thousands)</w:t>
      </w:r>
      <w:r>
        <w:rPr>
          <w:rFonts w:ascii="Times New Roman" w:hAnsi="Times New Roman"/>
          <w:color w:val="000000"/>
          <w:sz w:val="20"/>
        </w:rPr>
        <w:t xml:space="preserve"> </w:t>
      </w:r>
    </w:p>
    <w:p>
      <w:pPr>
        <w:pStyle w:val="TextBody"/>
        <w:bidi w:val="0"/>
        <w:jc w:val="left"/>
        <w:rPr/>
      </w:pPr>
      <w:r>
        <w:rPr/>
        <w:t> </w:t>
      </w:r>
    </w:p>
    <w:tbl>
      <w:tblPr>
        <w:tblW w:w="9849" w:type="dxa"/>
        <w:jc w:val="left"/>
        <w:tblInd w:w="0" w:type="dxa"/>
        <w:tblLayout w:type="fixed"/>
        <w:tblCellMar>
          <w:top w:w="28" w:type="dxa"/>
          <w:left w:w="28" w:type="dxa"/>
          <w:bottom w:w="28" w:type="dxa"/>
          <w:right w:w="28" w:type="dxa"/>
        </w:tblCellMar>
      </w:tblPr>
      <w:tblGrid>
        <w:gridCol w:w="6411"/>
        <w:gridCol w:w="146"/>
        <w:gridCol w:w="196"/>
        <w:gridCol w:w="826"/>
        <w:gridCol w:w="166"/>
        <w:gridCol w:w="146"/>
        <w:gridCol w:w="196"/>
        <w:gridCol w:w="751"/>
        <w:gridCol w:w="1011"/>
      </w:tblGrid>
      <w:tr>
        <w:trPr/>
        <w:tc>
          <w:tcPr>
            <w:tcW w:w="6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443,958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201,125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Provision for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10,315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(5,118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Amortization of deferred loan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Gain on sale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Net amortization of premiums on investments in 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value of 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Purchase of transferable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Accrued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Premiums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13,139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Reinsurance recoverable on paid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14,720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Reinsurance recoverable on unpaid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(235,959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Prepaid reinsurance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(65,875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Deferred policy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(22,051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Loss and loss adjustment expense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345,920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236,564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Advanced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16,633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Premium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Commissions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Reinsurance premiums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42,759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lease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797,432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553,886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 of fixed-maturity securities available-for-sale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(234,603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maturities and redemptions of fixed-maturity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40,024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redemption of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(10,088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(203,995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the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Repayment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(32,580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 and retirement of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the issuance of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Shares withheld for taxes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the issuance of preferred capital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893,126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347,480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789,842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442,362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1,682,968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789,842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paid during the year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58,506</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i/>
          <w:color w:val="000000"/>
          <w:sz w:val="20"/>
        </w:rPr>
        <w:t>See Accompanying Consolidated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notes_to_consolidated_financial"/>
      <w:bookmarkEnd w:id="21"/>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years ended December 31, 2025 and 2024</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(Dollar amounts in thousands, except share and per share amounts, unless otherwise stated)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Nature of Business and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Slide Insurance Holdings, Inc. (“SIH” or the “Company”) is a Delaware holding company incorporated on March 2, 2021. The Company was organized for the purpose of holding investments in operating subsidiaries engaged in property and casualty insurance activities. Subsidiaries include: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Insurance Company (“SIC”) – a wholly owned property casualty insurance company currently writing homeowners insurance policies in Florida and South Carolina.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MGA, LLC (“SMGA”) – a wholly owned managing general agent that performs policy processing and claims administration for SIC.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 Claims Company (“STAT”) – a wholly owned claims administrator.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Trusted Mitigation Contractors (“TMC”) – a wholly owned broker of contractors and loss mitigation service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Reinsurance Holdings, LLC (“Slide Re”) – a wholly owned reinsurance company and owner of the segregated cell (White Rock Insurance, Ltd., account T104).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Technologies, LLC (“Slide Tech”) – a wholly owned subsidiary that will license software developed by the Company. This entity has not begun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SJIG Target, LLC (“SJIG”) – a wholly owned non operating entity that holds contractual renewal rights to a portion of the policies issued by SIC.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Clegg Insurance Advisors, LLC (“Homefront”) – a wholly owned insurance agency acquired by the Company during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SIH Technologies, LLP (“Slide India”) – a wholly owned non-operating entity that is in the process of being dissolved.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Slide Specialty Insurance Company (f/k/a Pawtucket Insurance Company) (“Slide Specialty”) – a wholly owned property casualty insurance company licensed in New York, New Jersey, Rhode Island and South Carolina. Slide Specialty was acquired in February 2025 and had no assets, liabilities or capital and had not written any insurance policies. The license for Slide Specialty was acquired in 2021, and the Company recorded the associated intangible assets in 2021. The Rhode Island Department of Business Regulation; Division of Insurance approved the acquisition in February of 2025, which is when Slide Specialty legally became a wholly owned subsidiary of the Company. On July 24, 2025, the Company changed the name of Slide Specialty from Pawtucket Insurance Company to Slide Specialty Insurance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domiciled in the state of Florida and is a wholly owned subsidiary of SIH. The insurance subsidiary was incorporated on February 17, 2022, and commenced operations on March 1, 2022, after receiving its Certificate of Authority from the Florida Department of Financial Services, Office of Insurance Regulation (the “FLOIR”). SIC provides homeowners insurance coverage to policyholders in Florida and South Carolina, with Florida policyholders representing 99% of direct written premiums written during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subject to the broad administrative powers of the FLOIR, which include, but are not limited to, limitation of dividends distributable, modification of management services and tax-sharing agreements, limitations on new and renewal business, and requirements for capital and surplus.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SIH filed its original certificate of incorporation with the Secretary of State of the State of Delaware on March 2, 2021, and was authorized to issue 40.0 million shares of common stock at par value of $0.01 per share and 20.0 million shares of preferred stock at par value of $0.01 per share. The Company issued and had outstanding 10.2 million shares of common stock as of December 31, 2024. The Company issued and had outstanding 9.3 million shares of preferred stock as of December 31, 2024, pre stock split.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amended and restated its articles of incorporation on June 18, 2025, authorizing capital stock of 1.5 billion shares of common stock, par value $0.01 per share, and 150.0 million shares of preferred stock, par value $0.01 per share. As of December 31, 2025, there were 123.9 million shares of common stock outstanding and 0 shares of preferred stock outstanding.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18, 2025, the Company effected a 5.5-for-1 stock split of the common stock and preferred stock, respectively. All common stock and preferred stock and per share information included in the accompanying condensed consolidated financial statements and footnotes has been retroactively adjusted to reflect this stock split for all periods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Completion of Initial Public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18, 2025, the Company closed its initial public offering ("IPO") of 24.0 million shares of its common stock, of which 16.7 million shares were sold by the Company and 7.3 million shares were sold by certain selling stockholders, at an initial public offering price of $17.00 per share for gross proceeds of $408.0 million. The Company received net proceeds of approximately $263.5 million, net of approximately $19.8 million of underwriting discounts and commissions. The Company did not receive any proceeds from the sale of shares of its common stock by selling stockholders. The Company recorded the transaction within common stock and additional paid-in capital in the consolidated balance sheets as of December 31, 2025. All preferred stock was converted to common stock upon the completion of the IPO.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25, 2025, the underwriters fully exercised their option to purchase an additional 3.6 million shares of common stock from certain selling stockholders of the Company. The purchase of the additional shares brought the gross proceeds from the IPO to $469.2 million. The Company did not receive any proceeds from the sale by such selling stockholders of the additional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26, 2025, the Company's Board of Directors ("Board") authorized the 2025 Stock Repurchase Program ("repurchase program"), which allows the Company to repurchase, from time to time, up to $75.0 million of common stock through open market repurchases in compliance with Rule 10b-18 under the Securities Exchange Act of 1934, as amended (the “Exchange Act”) and/or in privately negotiated transactions at management’s discretion based on market and business conditions, applicable legal requirements and other factors. On November 4, 2025, the Board authorized an increase to the repurchase program to purchase an additional $45.0 million of common stock. The Company has repurchased 2,627,532 shares of common stock for $40.0 million as of December 31, 2025. Upon repurchase, the Company retired the shares of common stock. The repurchase plan has no time deadline and will continue until all authorized shares have been repurchased or otherwise modified or terminated by the Board.</w:t>
      </w:r>
    </w:p>
    <w:p>
      <w:pPr>
        <w:pStyle w:val="TextBody"/>
        <w:bidi w:val="0"/>
        <w:spacing w:before="360" w:after="283"/>
        <w:jc w:val="left"/>
        <w:rPr>
          <w:rFonts w:ascii="Times New Roman" w:hAnsi="Times New Roman"/>
          <w:sz w:val="20"/>
        </w:rPr>
      </w:pPr>
      <w:r>
        <w:rPr>
          <w:rFonts w:ascii="Times New Roman" w:hAnsi="Times New Roman"/>
          <w:b/>
          <w:i/>
          <w:color w:val="000000"/>
          <w:sz w:val="20"/>
        </w:rPr>
        <w:t>Assumed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participate in a “take-out program” through which the Company assumes insurance policies held by Citizens Property Insurance Corporation (“Citizens”), a Florida state-supported insurer. The take-out program is a legislatively mandated program designed to reduce the state’s risk exposure by encouraging private companies to assume policies from Citizens. During 2025, the Company was approved by the Florida Department of Financial Services, Office of Insurance Regulation (“FLOIR”) to assume a total of 457,150 policies. The approval date noted is based on actual takeout date and not the date the Company received approval to participate from the FLOIR. The Company assumed approximately 191,850 policies, representing $595.0 million in annualized gross premiums.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2024, the Company was approved by the FLOIR to assume a total of 275,600 policies from Citizens. In 2024, approximately 136,000 policies were assumed from Citizens, representing approximately $484.1 million in annualized gross written premiums related to these transactions.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SIH and its wholly-owned subsidiaries, as well as variable interest entities (“VIE) in which the Company is determined to be the primary beneficiary, and have been prepared in conformity with accounting principles generally accepted in the United States of America (“GAAP”) which, for SIC, may vary in some respects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statutory accounting principles, which are prescribed or permitted by the FLOIR. All intercompany accounts and transactions have been eliminated in consolidation. The significant accounting policies followed by the Company are summarized below. </w:t>
      </w:r>
    </w:p>
    <w:p>
      <w:pPr>
        <w:pStyle w:val="TextBody"/>
        <w:bidi w:val="0"/>
        <w:spacing w:before="360" w:after="283"/>
        <w:jc w:val="left"/>
        <w:rPr>
          <w:rFonts w:ascii="Times New Roman" w:hAnsi="Times New Roman"/>
          <w:sz w:val="20"/>
        </w:rPr>
      </w:pPr>
      <w:r>
        <w:rPr>
          <w:rFonts w:ascii="Times New Roman" w:hAnsi="Times New Roman"/>
          <w:b/>
          <w:i/>
          <w:color w:val="000000"/>
          <w:sz w:val="20"/>
        </w:rPr>
        <w:t>Adoption of New Accounting Standard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2023, the Financial Accounting Standards Board (“FASB”) issued Accounting Standards Update (“ASU”) 2023-01 Leases (Topic 842): Common Control Arrangements. For public entities, this update amends the required amortization period for leasehold improvements associated with common control leases to be over the useful life of the leasehold improvements to the common control group, regardless of the lease term, as long as the lessee controls the use of the asset through a lease. In addition, if the lessor is sub-leasing the asset while simultaneously leasing the asset from an entity not within the same common control group, the amortization period may not exceed the amortization period of the common control group. Once the lessee no longer controls the use of the asset, the asset will be accounted for as a transfer between entities under common control through an adjustment to equity. ASU 2023-01 was adopted by the Company effective January 1, 2024 and did not have a material impact on its financial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This update enhances income tax disclosures by requiring public entities to report income tax expense disaggregated by federal, state and foreign taxes, with further detail on specific jurisdictions over a quantitative threshold. In addition, public entities must also separately disclose reconciling items equal to or greater than five percent of pretax income from operations by the applicable federal statutory rate. ASU 2023-09 is effective for all public entities for fiscal years beginning after December 15, 2024. ASU 2023-09 was adopted by the Company effective December 31, 2025 and applied the disclosure requirements retroactively. See Note 10 Income Taxes in the accompanying notes to the consolidated financial statements for further details. </w:t>
      </w:r>
    </w:p>
    <w:p>
      <w:pPr>
        <w:pStyle w:val="TextBody"/>
        <w:bidi w:val="0"/>
        <w:spacing w:before="360" w:after="283"/>
        <w:jc w:val="left"/>
        <w:rPr>
          <w:rFonts w:ascii="Times New Roman" w:hAnsi="Times New Roman"/>
          <w:sz w:val="20"/>
        </w:rPr>
      </w:pPr>
      <w:r>
        <w:rPr>
          <w:rFonts w:ascii="Times New Roman" w:hAnsi="Times New Roman"/>
          <w:b/>
          <w:i/>
          <w:color w:val="000000"/>
          <w:sz w:val="20"/>
        </w:rPr>
        <w:t>Consolidation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include the accounts of the Company, its wholly-owned subsidiaries and VIEs in which the Company is determined to be the primary beneficiary. This analysis includes a review of the VIE’s capital structure, related contractual relationships and terms, nature of the VIE’s operations and purpose, nature of the VIE’s interests issued, and the Company’s involvement with the entity. When assessing the need to consolidate a VIE, the Company evaluates the design of the VIE as well as the related risks to which the entity was designed to expose the variable interest holders. The primary beneficiary is the entity that has both (i) the power to direct the activities of the VIE that most significantly affect the entity’s economic performance and (ii) the obligation to absorb losses or the right to receive benefits that could be potentially significant to the VIE. While also considering these factors, the consolidation conclusion depends on the Company’s decision-making ability and its ability to influence activities that significantly affect the economic performance of the VIE. </w:t>
      </w:r>
    </w:p>
    <w:p>
      <w:pPr>
        <w:pStyle w:val="TextBody"/>
        <w:bidi w:val="0"/>
        <w:spacing w:before="360" w:after="283"/>
        <w:jc w:val="left"/>
        <w:rPr>
          <w:rFonts w:ascii="Times New Roman" w:hAnsi="Times New Roman"/>
          <w:sz w:val="20"/>
        </w:rPr>
      </w:pPr>
      <w:r>
        <w:rPr>
          <w:rFonts w:ascii="Times New Roman" w:hAnsi="Times New Roman"/>
          <w:b/>
          <w:i/>
          <w:color w:val="000000"/>
          <w:sz w:val="20"/>
        </w:rPr>
        <w:t>Allowance for Credit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Allowance for credit losses represents an estimation of potential losses that the Company may experience due to credit risk. The allowance for credit losses account is a contra account of a financial asset to reflect the net amount expected to be collected. Any increase or decrease in the allowance for credit losses related to investments is recognized and reflected as credit losses on investments in the Company’s consolidated statement of income. For all other financial assets, credit loss expense is included in other operating expenses. When the risk of credit loss becomes certain, the allowance for credit losses account will be written off against the financial asset. Under the CECL model, the Company measures all expected credit losses related to relevant financial assets based on historical experience, current conditions, and reasonable and supportable forecasts which incorporate forward-looking information. The Company primarily uses a discounted cash flow method and a rating-based method in estimating credit losses at a reporting date for financial assets under the scope of the CECL model. The discounted cash flow method is a valuation method used to estimate the value of a financial asset based on its future cash flows. The Company uses this method to determine the expected credit losses for available-for-sale fixed-maturity securities. In addition, the Company elected not to measure an allowance for credit losses for accrued interest receivable as any uncollectible amount is adjusted to interest income on a monthly basis. As of December 31, 2025, the exposure to credit losses for certain financial assets related to non-insurance business is considered immaterial to the Company’s financial position.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certain financial assets related to insurance business such as reinsurance recoverable and reinsurance receivable for premium refund, the Company uses a rating-based method, which is a modified version of the probability of default method. It requires two key inputs: a) the liquidation rate and b) the amount of loss exposure. The liquidation rate, which is published annually, is the ratio of impaired insurance companies that were eventually liquidated to the group of insurance companies considered by A.M. Best in its study. The amount of loss exposure represents the future billing balance, net of any collateral, spread over the projected periods that are based on the Company’s historical claim payment pattern. The rating-based method measures credit losses by multiplying the future billings grouped by insurance rating over the projected periods by their corresponding liquidation rates by insurance rating.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paid losses reinsurance recoverable which is due within 90 days after billing, the Company will rely heavily on each reinsurer’s credit rating, recent financial condition, and historical collection problems, if any, in determining the expected credit loss. For risk attributable to disagreements between an insurer and reinsurer regarding a difference in interpretation of provisions in a reinsurance agreement (“dispute risk”), the Company will continue to use an incurred loss method to estimate losses. At December 31, 2025, there was no dispute risk associated with the reinsurance recoverable balance. </w:t>
      </w:r>
    </w:p>
    <w:p>
      <w:pPr>
        <w:pStyle w:val="TextBody"/>
        <w:bidi w:val="0"/>
        <w:spacing w:before="36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include cash on hand, demand deposits, and investments with maturities of three months or less from the date of acquisition. Outstanding checks issued in excess of bank balances (“book overdrafts”) if any are reported as a liability and are included in accounts payable and accrued expenses in the accompanying consolidated balance sheets. However, in the event of a failure of the financial institution, there is a chance we may be unable to access such funds and may incur a loss to the extent such balance exceeds the FDIC insurance limits, which could have a negative impact on our liquidity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cash represents funds in the Company’s sole ownership held by certain states in which the Company’s insurance subsidiary conducts business to meet regulatory requirements and which are not available for immediate business use. Restricted cash also includes funds held in trust by the VIE where the Company is the primary beneficiary. </w:t>
      </w:r>
    </w:p>
    <w:p>
      <w:pPr>
        <w:pStyle w:val="TextBody"/>
        <w:bidi w:val="0"/>
        <w:spacing w:before="360" w:after="283"/>
        <w:jc w:val="left"/>
        <w:rPr>
          <w:rFonts w:ascii="Times New Roman" w:hAnsi="Times New Roman"/>
          <w:sz w:val="20"/>
        </w:rPr>
      </w:pPr>
      <w:r>
        <w:rPr>
          <w:rFonts w:ascii="Times New Roman" w:hAnsi="Times New Roman"/>
          <w:b/>
          <w:i/>
          <w:color w:val="000000"/>
          <w:sz w:val="20"/>
        </w:rPr>
        <w:t>Fixed-Maturity Securities Available-for-Sale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the Company’s fixed-maturity securities are classified as available-for-sale and are carried at estimated fair value. Changes in unrealized gains and losses, net of taxes, are charged or credited to accumulated other comprehensive income in shareholders’ equity. Amortization of premiums and discounts on investments in fixed-maturity securities are reflected in earnings over the contractual terms of the investments in a manner that produces a constant effective yield. Realized gains and losses on the sale of investments are recognized in the consolidated statement of operations using the specific identification basis.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investments consists of preferred interest limited partnership agreements carried at amortized cost, which approximates fair value. Impairment losses on other investments are recognized in the Consolidated Statements of Operations in the period when evidence indicates a decrease in the value of the investment has occurred that is other than temporary. </w:t>
      </w:r>
    </w:p>
    <w:p>
      <w:pPr>
        <w:pStyle w:val="TextBody"/>
        <w:bidi w:val="0"/>
        <w:spacing w:before="360" w:after="283"/>
        <w:jc w:val="left"/>
        <w:rPr>
          <w:rFonts w:ascii="Times New Roman" w:hAnsi="Times New Roman"/>
          <w:sz w:val="20"/>
        </w:rPr>
      </w:pPr>
      <w:r>
        <w:rPr>
          <w:rFonts w:ascii="Times New Roman" w:hAnsi="Times New Roman"/>
          <w:b/>
          <w:i/>
          <w:color w:val="000000"/>
          <w:sz w:val="20"/>
        </w:rPr>
        <w:t>Premiums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Premiums receivable are uncollateralized policyholder obligations due under normal policy terms, requiring payment within a specified period from the invoice date and are reflected net of allowances in the accompanying Consolidated Balance Sheets. As of December 31, 2025 and 2024, allowances for uncollectible premiums were $3,294 and $2,295, respectively. The increase in allowances for uncollectible premiums during 2024 resulted in a $45 decrease in unearned premiums during the year ended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is stated at cost less accumulated depreciation and amortization, which is included in the Statement of Operations in Other operating expenses. Depreciation is calculated on a straight-line basis over the estimated useful lives. Replacements and maintenance and repairs that do not improve or extend the life of the respective assets are expensed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capitalizes external costs for internally developed software during the application development stage. During the preliminary project and post-implementation stage, internal-use software development costs are expensed as incurred. Capitalized software costs are depreciated on a straight-line basis over the estimated useful life of three to seven years.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Policy Acquisition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incurs policy acquisition costs that vary with, and are directly related to, the production of new business. Policy acquisition costs consist of commissions paid to outside agents at the time of policy issuance and premium taxes. The Company capitalizes policy acquisition costs to the extent recoverable, then the Company amortizes those costs over the contract period of the related policies. </w:t>
      </w:r>
    </w:p>
    <w:p>
      <w:pPr>
        <w:pStyle w:val="TextBody"/>
        <w:bidi w:val="0"/>
        <w:spacing w:before="360" w:after="283"/>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adopted ASU 2017-04, Simplifying the Test for Goodwill Impairment Accounting Standards Codification (“ASC”) 350, which changed the guidance on goodwill impairment. Under the guidance, the qualitative assessment of the recoverability of goodwill remains the same, but the second step of the two-step quantitative test, which required calculation of the implied fair value of goodwill, has been eliminated. Instead, an impairment charge is recognized when the carrying value of a reporting unit exceeds its fair value. Any excess of carrying value over fair value is written down as an impairment. This evaluation is performed annually, on May 1 or more frequently if facts and circumstances warrant. An impairment loss would be recognized if, and to the extent that, the carrying value of goodwill exceeded the fair value. The Company has completed the analysis and determined there was no impairment of goodwill as of December 31, 2025 or 2024. </w:t>
      </w:r>
    </w:p>
    <w:p>
      <w:pPr>
        <w:pStyle w:val="TextBody"/>
        <w:bidi w:val="0"/>
        <w:spacing w:before="360" w:after="283"/>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Intangibles for impairment whenever events or circumstances indicate that carrying amounts may not be recoverable. If the Company concludes that impairment exists, the carrying amount is reduced to fair value. If an intangible is considered to have a definite life, such as renewal rights of policies, then the value of the intangible is amortized over the expected life. The Company has completed the analysis as of December 31 and ascertained if any facts or circumstances would indicate impairment through the end of the year and concluded there was no impairment of Intangibles as of December 31, 2025 or 2024. </w:t>
      </w:r>
    </w:p>
    <w:p>
      <w:pPr>
        <w:pStyle w:val="TextBody"/>
        <w:bidi w:val="0"/>
        <w:spacing w:before="360" w:after="283"/>
        <w:jc w:val="left"/>
        <w:rPr>
          <w:rFonts w:ascii="Times New Roman" w:hAnsi="Times New Roman"/>
          <w:sz w:val="20"/>
        </w:rPr>
      </w:pPr>
      <w:r>
        <w:rPr>
          <w:rFonts w:ascii="Times New Roman" w:hAnsi="Times New Roman"/>
          <w:b/>
          <w:i/>
          <w:color w:val="000000"/>
          <w:sz w:val="20"/>
        </w:rPr>
        <w:t>Loss and Loss Adjustment Expense Reserves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and loss adjustment expenses (“LAE”) reserves are determined by establishing liabilities in amounts estimated to cover incurred losses and LAE. Such reserves are determined based on the assessment of claims reported and the development of pending claims. These reserves are based on individual case estimates for the reported losses and LAE and estimates of such amounts that are incurred but not reported. Changes in the estimated liability are charged or credited to income as the losses and LAE are settled. Salvage and subrogation are deducted from the reserve for claims and claims expense on a cash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estimates of unpaid loss and LAE are subject to trends in claim severity and frequency and are continually reviewed. As part of the process, the Company reviews historical data and considers various factors, including known and anticipated regulatory and legal developments, changes in social attitudes, inflation and economic conditions. As experience develops and other data becomes available, these estimates are revised, as required, resulting in increases or decreases to the existing unpaid loss and LAE reserves. Adjustments are reflected in the Consolidated Statement of Operations in the period in which they are made and the liabilities may deviate substantially from prior estimates. Loss and LAE reserves ceded to or recovered from reinsurers are recorded as a reduction to loss and LAE reserves on the Consolidated Statements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liabilities have been stated gross of reinsurance amounts recoverable from other insurance companies, and have been reduced by $0.0 for estimated salvage and subrogation recoverables at December 31, 2025 and 2024. </w:t>
      </w:r>
    </w:p>
    <w:p>
      <w:pPr>
        <w:pStyle w:val="TextBody"/>
        <w:bidi w:val="0"/>
        <w:spacing w:before="360" w:after="283"/>
        <w:jc w:val="left"/>
        <w:rPr>
          <w:rFonts w:ascii="Times New Roman" w:hAnsi="Times New Roman"/>
          <w:sz w:val="20"/>
        </w:rPr>
      </w:pPr>
      <w:r>
        <w:rPr>
          <w:rFonts w:ascii="Times New Roman" w:hAnsi="Times New Roman"/>
          <w:b/>
          <w:i/>
          <w:color w:val="000000"/>
          <w:sz w:val="20"/>
        </w:rPr>
        <w:t>Advance Premiums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Premium payments received prior to the policy effective date are recorded as Advance premiums. Once the policy is in force, the premiums are recorded as described under “Revenue Recognition” below. </w:t>
      </w:r>
    </w:p>
    <w:p>
      <w:pPr>
        <w:pStyle w:val="TextBody"/>
        <w:bidi w:val="0"/>
        <w:spacing w:before="36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office equipment and office space from non-affiliates under terms ranging from one month up to eight years. In assessing whether a contract is or contains a lease, the Company first determines whether there is an identified asset in the contract. The Company then determines whether the contract conveys the right to obtain substantially all of the economic benefits from use of the identified asset or the right to direct the use of the identified asset. The Company elects not to record any lease with a term of 12 months or less on the consolidated balance sheet. For such short-term leases, the Company recognizes the lease payments in expense on a straight-line basis over the lease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contract is or contains a lease and the Company has the right to control the use of the identified asset, the right-of-use (“ROU”) asset and the lease liability is measured from the lease component of the contract and recognized on the consolidated balance sheet. In measuring the lease liability, the Company uses its incremental borrowing rate for a loan secured by a similar asset that has a term similar to the lease term to discount the lease payments. The contract is further evaluated to determine the classification of the lease as to whether it is finance or operating. If the lease is a finance lease, the ROU asset is depreciated to depreciation expense over the shorter of the useful life of the asset or the lease term. Interest expense is recorded in connection with the lease liability using the effective interest method. If the lease is an operating lease, the ROU asset is amortized to lease expense on a straight-line basis over the lease term. For the presentation of finance leases on the Company’s consolidated balance sheets, ROU assets and corresponding lease liabilities are included with property and equipment, net, and long-term debt, respectively. For the presentation of operating leases on the Company’s Consolidated Balance Sheets, ROU assets are presented as right-of-use assets – operating leases and corresponding lease liabilities are reflected as lease liabilities – operating leases.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swap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swaps as either assets or liabilities and carries them at fair value. Interest rate swaps are adjusted to fair value by charges or credits in the Consolidated Statements of Operations and included as a component of interest expense. </w:t>
      </w:r>
    </w:p>
    <w:p>
      <w:pPr>
        <w:pStyle w:val="TextBody"/>
        <w:bidi w:val="0"/>
        <w:spacing w:before="360" w:after="283"/>
        <w:jc w:val="left"/>
        <w:rPr>
          <w:rFonts w:ascii="Times New Roman" w:hAnsi="Times New Roman"/>
          <w:sz w:val="20"/>
        </w:rPr>
      </w:pPr>
      <w:r>
        <w:rPr>
          <w:rFonts w:ascii="Times New Roman" w:hAnsi="Times New Roman"/>
          <w:b/>
          <w:i/>
          <w:color w:val="000000"/>
          <w:sz w:val="20"/>
        </w:rPr>
        <w:t>Long-term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debt includes debt instruments. A debt instrument is generally classified as a liability and carried at amortized cost, net of any issuance costs. Debt issuance costs are capitalized and amortized to interest expense over the expected life of the debt instrument using the straight-line method.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and Preferred Stock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issued or modified warrants that meet all of the criteria for equity classification, the warrants are required to be recorded as a component of additional paid-in capital at the time of issuance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stock-based compensation under the fair value recognition provisions of GAAP which require the measurement and recognition of compensation for all stock-based awards made to employees, non-employee directors (see Note 23 – “Stock-Based Compensation”), and third-party award recipients based on estimated fair values. In accordance with GAAP, the fair value of stock-based awards granted to employees and non-employee directors is generally recognized as compensation expense over the requisite service period, which is defined as the period during which a recipient is required to provide service in exchange for an award. Forfeitures of the Company’s stock-based awards are accounted for on a total future estimated basis. The Company uses a straight-line attribution method for all awards that include only a service-based vesting condition.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recognizes expense from performance-based conditions when the events to recognize the performance condition is probable. Compensation expense related to all awards granted to employees and non-employee directors is included in General and administrative expenses in the Consolidated Statement of Operations. The Company receives a windfall tax benefit for certain stock option exercises if these options vest at a higher value than the value used to recognize compensation expense. In the event the stock-based awards vest at a lower value than the value used to recognize compensation expense, the Company experiences a tax shortfall. The Company recognizes tax windfalls and shortfalls in the Consolidated Statement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Basic and Diluted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earnings per share is computed by dividing Net income by the weighted average number of common shares outstanding during the reporting period. Diluted net earnings per share is computed by dividing net income by the weighted average number of common and common equivalent shares outstanding during the reported period. Common equivalent shares include incremental shares from diluted vested and unvested shares of common stock-based awards, convertible preferred stock and preferred share warrants outstanding during the period based on the “if converted” method under the guidance of ASU 2020-06. During loss periods, common stock equivalents such as stock options and convertible debt are excluded from the calculation of diluted loss per share, as the inclusion would have an anti-dilutive effect. </w:t>
      </w:r>
    </w:p>
    <w:p>
      <w:pPr>
        <w:pStyle w:val="TextBody"/>
        <w:bidi w:val="0"/>
        <w:spacing w:before="360" w:after="283"/>
        <w:jc w:val="left"/>
        <w:rPr>
          <w:rFonts w:ascii="Times New Roman" w:hAnsi="Times New Roman"/>
          <w:sz w:val="20"/>
        </w:rPr>
      </w:pPr>
      <w:r>
        <w:rPr>
          <w:rFonts w:ascii="Times New Roman" w:hAnsi="Times New Roman"/>
          <w:b/>
          <w:i/>
          <w:color w:val="000000"/>
          <w:sz w:val="20"/>
        </w:rPr>
        <w:t>Insurance Guaranty Association Assessments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insurance subsidiaries may be assessed by state associations such as the Florida Insurance Guaranty Association. The assessments are intended to be used for the payment of covered claims of insolvent insurance entities. The assessments are generally based on a percentage of premiums written during or following the year of insolvency. Liabilities are recognized when the assessments are probable to be imposed on the premiums on which they are expected to be based and the amounts can be reasonably estimated. An insurer is generally permitted to recover the entire amount of assessments from in-force and future policyholders through policy surcharges. GAAP provides that the Company should record an asset based on the amount of written or obligated-to-write premiums and limited to the amounts recoverable over the life of the in-force policies.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files consolidated federal and state income tax returns and allocates taxes among its subsidiaries in accordance with a written tax-allocation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income taxes in accordance with GAAP, resulting in two components of income tax expense and benefit: current and deferred. Current income tax expense and benefit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income tax expense and benefit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fifty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fifty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 Deferred tax assets are reduced by a valuation allowance if, based on the weight of both positive and negative evidence available including recent operating results, available tax planning strategies, and projected future taxable income, it is more likely than not that some portion or all of a deferred tax asset will not be realized.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and assumed premiums written are earned pro rata over the terms of the policies, or remaining term of the policy for policies assumed post their origination date. Unearned premium liabilities are established for the unexpired portion of premiums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written or assumed. Such unearned premiums are computed on a daily pro rata method for direct and assumed business. At each reporting date, the Company determines whether it has a premium deficiency. A premium deficiency would result if the sum of the Company’s expected losses, deferred policy acquisition costs, and policy maintenance costs (such as costs to store records and costs incurred to collect premiums and pay commissions) exceeded the Company’s related unearned premiums plus investment income. Should the Company determine that a premium deficiency exists, the Company would write off the unrecoverable portion of Deferred policy acquisition cost. At December 31, 2025 and 2024, the Company has recorded no premium deficiency 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considered the Citizens assumed policies as reinsurance accounting as indicated by the ASC 944-20-20 definition of reinsurance includes “assumption or novation reinsurance contracts that are legal replacements of one insurer by another extinguish the ceding entity’s liability to the policyholder”. Further, guidance at ASC 944-20-15-37a. indicates reinsurance accounting applies to any “transaction... whose individual terms indemnify an insurer against loss or liability relating to insurance risk. That is, all contracts, including contracts that may not be structured or described as reinsurance, shall be accounted for as reinsurance if those conditions are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Citizens policies assumed and the policies acquired from St. Johns Insurance Company in 2022 and United Property Casualty Company in 2023 are short-duration contracts under ASC 944 as the original and remaining policy periods are one year or less. The Company meets the conditions of ASC 944-20-15-41 as it completely assumes the insurance risk of the policy going forward with the policyholder, and as such the Company has risk of significant loss as it has assumed all aspects of the policy going forward. ASC 944 is generally silent on the accounting for an assumed reinsurance contract. ASC 944-20-05-3 simply notes: “Four methods of premium revenue and contract liability recognition for insurance contracts have developed: short-duration contract accounting and three methods of long duration contract accounting.... Generally, the four methods reflect the nature of the insurance entity’s obligations and policyholder rights under the provisions of the contract.” The Company views assuming insurance risk from another insurer or from non-insurers is economically the same and thus would follow the same short-duration contract accounting as its direct written premiums. The Company accounts for the unearned premium pro rata over the remaining policy period similar to direct written premiums. The Company believes its treatment is reasonable based on analogy to the following guidance: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 944-30-35-52 provides the following for contract modifications: “Similar to traditional long-duration contracts as discussed beginning in paragraph 944-30-35-46 a revision to a short-duration contract is viewed as a prospective revision with future recognition of unearned premium and amortization of unamortized deferred acquisition costs adjusted, accordingly, on a prospective basis.” This is consistent with the Company’s accounting for the Citizens assumed premiums, noting there are no deferred acquisition costs or payments by the Company to Citizens to amortize.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 944-30-35-53 similarly provides: “Consistent with the guidance in paragraphs 944-30-35-1A and 944-605-25-1, unearned premium is recognized as revenue over the period of the contract in proportion to the amount of insurance protection provided, amortization of deferred acquisition costs continues to be recognized in proportion to the premium recognized.”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ASC 944-605-35-8 for ceding entities provides: “Prepaid reinsurance premiums recognized under paragraph 944-605-25-20 shall be amortized over the remaining contract period in proportion to the amount of insurance protection provided.” The Company believes it is reasonable that as the assuming entity, it would similarly recognize the unearned premiums assumed in a similar manner.</w:t>
      </w:r>
      <w:r>
        <w:rPr>
          <w:color w:val="00000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Policy Fees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Policy fees, which represents fees paid by policyholders to the MGA on all new and renewal insurance policies, are generally recognized as income upon policy inception in accordance with ASC 606, which coincides with the completion of our service obligation of issuing the policy. </w:t>
      </w:r>
    </w:p>
    <w:p>
      <w:pPr>
        <w:pStyle w:val="TextBody"/>
        <w:bidi w:val="0"/>
        <w:spacing w:before="360" w:after="283"/>
        <w:jc w:val="left"/>
        <w:rPr>
          <w:rFonts w:ascii="Times New Roman" w:hAnsi="Times New Roman"/>
          <w:sz w:val="20"/>
        </w:rPr>
      </w:pPr>
      <w:r>
        <w:rPr>
          <w:rFonts w:ascii="Times New Roman" w:hAnsi="Times New Roman"/>
          <w:b/>
          <w:i/>
          <w:color w:val="000000"/>
          <w:sz w:val="20"/>
        </w:rPr>
        <w:t>Reinsurance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seeks to reduce the loss that may arise from catastrophes or other events by reinsuring certain levels of risk in various areas of exposure with other insurance enterprises or reinsurers. The Company contracts with a number of reinsurers to secure its annual reinsurance coverage, which generally becomes effective June 1st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year. The Company purchases reinsurance each year taking into consideration probable maximum losses and reinsurance market conditions. Amounts recoverable from reinsurers are estimated in a manner consistent with the applicable reinsurance contract or contracts. Premiums ceded to other companies are reported as a reduction of Gross premiums earned to arrive at Net premiums earned. Prepaid reinsurance premiums represent the unexpired portion of premiums ceded to reinsurers. The Company may recover reinsurance in advance of paying direct losses. The Company may recover reinsurance in advance of paying direct losses. The Company reports these advance amounts as advanced recoveries on reinsurance. </w:t>
      </w:r>
    </w:p>
    <w:p>
      <w:pPr>
        <w:pStyle w:val="TextBody"/>
        <w:bidi w:val="0"/>
        <w:spacing w:before="36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primarily writes homeowners coverage in the state of Florida. The Company’s business could be impacted by negative effects of economic and political forces in Florida, continuing price pressure on new and renewal business, the ability to effectively manage expenses, market competition, and federal and state legislation or governmental regulations of insurance companies. Also, SIC is subject to regulatory requirements, as discussed in Note 17, Regulatory Matters.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insures an area that is exposed to damage from, among other events, hurricanes, wind, tornadoes, hail, sinkholes, and severe thunderstorms. The Company attempts to mitigate its exposure to losses from storms by avoiding geographic concentrations of policies and by purchasing catastrophe reinsurance coverage, further discussed in Note 11, Reinsurance. However, a severe storm, depending on its path and intensity, could result in losses to the Company exceeding its reinsurance protection, and could have a material adverse effect on the consolidated financial position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a number of risks and uncertainties inherent in the process of monitoring impairments relating to invested assets, and determining if an underlying credit event either has or could happen in the future. These risks and uncertainties include the risk that the economic outlook will be worse than expected or have more of an impact on the issuer than anticipated, the risk that the Company’s assessment of an issuer’s ability to meet all of its contractual obligations will change based on changes in the characteristics of that issuer, the risk that information obtained by the Company or changes in other facts and circumstances lead management to change its intent to hold the security to maturity or until it recovers in value, and the risk that management is making decisions based on misstated information in the consolidated financial statements provided by issuers.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Accordingly, actual results could differ from those estimates. </w:t>
      </w:r>
    </w:p>
    <w:p>
      <w:pPr>
        <w:pStyle w:val="TextBody"/>
        <w:bidi w:val="0"/>
        <w:spacing w:before="36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insurance segment derives revenues from direct and assumed premiums written which revenues are earned pro rata over the terms of the policies, or remaining term of the policy for policies assumed post their origination date. Revenue is earned from policies from homeowners, which are annual policies. The accounting policies of the insurance segment are the same as those described in the summary of significant accounting policies. The chief operating decision maker (“CODM”) assesses performance for the insurance segment and decides how to allocate resources based on net income that also is reported on the income statement as consolidated net income and EBITDA. The measure of segment assets is reported on the balance sheet as total consolidated assets. The CODM uses net income and EBITDA to evaluate income generated from segment assets (return on assets) in deciding whether to reinvest profits into the insurance segment or into other parts of the entity, such as for acquisitions. The significant expenses reviewed by the CODM, which are used to assess performance of the Company, are not disaggregated at a level lower than the captions disclosed within the Consolidated Statement of Operations. Net income is used to monitor budget versus actual results. The CODM also uses net income and EBITDA in competitive analysis by benchmarking to the Company’s competitors. The competitive analysis along with the monitoring of budgeted versus actual results are used in assessing performance of the segment and in establishing management’s compensation. The Company has one reportable segment: insurance. The insurance segment provides residential homeowners insurance. The Company derives all revenue in the United States of America and manages the business activities on a consolidated basis. The Company’s CODM is the Chief Executive Officer.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 (Topic 220): Reporting Comprehensive Income - Expense Disaggregation Disclosures, Disaggregation of Income Statement Expenses,” which requires additional information about certain expenses in the financial statements. The amendments in this ASU will be effective for annual periods beginning after December 15, 2026. Early adoption is permitted and is effective on either a prospective basis or retrospective basis. The Company is currently evaluating the ASU to determine its impact on the Company's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Financial Accounting Standards Board ("FASB") issued Accounting Standards Update ("ASU") 2025-06, </w:t>
      </w:r>
      <w:r>
        <w:rPr>
          <w:rFonts w:ascii="Times New Roman" w:hAnsi="Times New Roman"/>
          <w:i/>
          <w:color w:val="000000"/>
          <w:sz w:val="20"/>
        </w:rPr>
        <w:t xml:space="preserve">Intangibles </w:t>
      </w:r>
      <w:r>
        <w:rPr>
          <w:rFonts w:ascii="Times New Roman" w:hAnsi="Times New Roman"/>
          <w:color w:val="000000"/>
          <w:sz w:val="20"/>
        </w:rPr>
        <w:t xml:space="preserve">– </w:t>
      </w:r>
      <w:r>
        <w:rPr>
          <w:rFonts w:ascii="Times New Roman" w:hAnsi="Times New Roman"/>
          <w:i/>
          <w:color w:val="000000"/>
          <w:sz w:val="20"/>
        </w:rPr>
        <w:t xml:space="preserve">Goodwill and Other </w:t>
      </w:r>
      <w:r>
        <w:rPr>
          <w:rFonts w:ascii="Times New Roman" w:hAnsi="Times New Roman"/>
          <w:color w:val="000000"/>
          <w:sz w:val="20"/>
        </w:rPr>
        <w:t xml:space="preserve">– </w:t>
      </w:r>
      <w:r>
        <w:rPr>
          <w:rFonts w:ascii="Times New Roman" w:hAnsi="Times New Roman"/>
          <w:i/>
          <w:color w:val="000000"/>
          <w:sz w:val="20"/>
        </w:rPr>
        <w:t>Internal-Use Software (Subtopic 350-40): Targeted Improvements to the Accounting for Internal-Use Software.</w:t>
      </w:r>
      <w:r>
        <w:rPr>
          <w:rFonts w:ascii="Times New Roman" w:hAnsi="Times New Roman"/>
          <w:color w:val="000000"/>
          <w:sz w:val="20"/>
        </w:rPr>
        <w:t xml:space="preserve"> The update modifies the accounting for internal-use software development costs by eliminating the stage-based model and establishing new capitalization criteria that apply once a project is authorized, funded, and it is probable the software will be completed and used as intended. The new guidance also introduces the concept of significant development uncertainty to help entities determine the appropriate timing of capitalization and integrates prior website development guidance into Accounting Standards Codification (“ASC”) 350-40. The update is effective for annual periods beginning after December 15, 2026, with early adoption permitted. The Company is currently assessing the impact of adopting this guidance and does not expect the adoption to have a material effect on its financial position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believe any of these accounting pronouncements have or will have a material impact on its consolidated financial statements.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Cash, Cash Equivalents, and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reconciliation of cash, cash equivalents, and restricted cash reported within the Company’s consolidated balance sheets that sum to the total of the same such amounts shown in the consolidated statements of cash flows. </w:t>
      </w:r>
    </w:p>
    <w:p>
      <w:pPr>
        <w:pStyle w:val="TextBody"/>
        <w:bidi w:val="0"/>
        <w:jc w:val="left"/>
        <w:rPr/>
      </w:pPr>
      <w:r>
        <w:rPr/>
        <w:t> </w:t>
      </w:r>
    </w:p>
    <w:tbl>
      <w:tblPr>
        <w:tblW w:w="6294" w:type="dxa"/>
        <w:jc w:val="left"/>
        <w:tblInd w:w="0" w:type="dxa"/>
        <w:tblLayout w:type="fixed"/>
        <w:tblCellMar>
          <w:top w:w="28" w:type="dxa"/>
          <w:left w:w="28" w:type="dxa"/>
          <w:bottom w:w="28" w:type="dxa"/>
          <w:right w:w="28" w:type="dxa"/>
        </w:tblCellMar>
      </w:tblPr>
      <w:tblGrid>
        <w:gridCol w:w="3331"/>
        <w:gridCol w:w="146"/>
        <w:gridCol w:w="211"/>
        <w:gridCol w:w="931"/>
        <w:gridCol w:w="146"/>
        <w:gridCol w:w="146"/>
        <w:gridCol w:w="211"/>
        <w:gridCol w:w="781"/>
        <w:gridCol w:w="3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1,682,968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789,842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December 31, 2025, $81,042 or 4.8% of the Company’s cash and cash equivalents were deposited at one national bank and included $69,145 with four custodians. At December 31, 2024, $98,850 or 12.5% of the Company’s cash and cash equivalents were deposited at one national bank and included $83,687 with four custodians. At December 31, 2025 and 2024, the Company’s cash deposits at any one bank generally exceed the Federal Deposit Insurance Corporation’s $250 coverage limit for insured deposit accounts. For those banks where the Company’s deposits exceed $250, the Company regularly reviews the financials reports and credit ratings of the banks for any indication of financial stress. The Company determined that no indication of financial stress was evident in any bank where Company deposits exceeded $250 at December 31, 2025 and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Basic and Diluted Earnings Per Share (shares reported in thousands)</w:t>
      </w:r>
    </w:p>
    <w:p>
      <w:pPr>
        <w:pStyle w:val="TextBody"/>
        <w:bidi w:val="0"/>
        <w:jc w:val="left"/>
        <w:rPr/>
      </w:pPr>
      <w:r>
        <w:rPr/>
        <w:t> </w:t>
      </w:r>
    </w:p>
    <w:tbl>
      <w:tblPr>
        <w:tblW w:w="7884" w:type="dxa"/>
        <w:jc w:val="left"/>
        <w:tblInd w:w="0" w:type="dxa"/>
        <w:tblLayout w:type="fixed"/>
        <w:tblCellMar>
          <w:top w:w="28" w:type="dxa"/>
          <w:left w:w="28" w:type="dxa"/>
          <w:bottom w:w="28" w:type="dxa"/>
          <w:right w:w="28" w:type="dxa"/>
        </w:tblCellMar>
      </w:tblPr>
      <w:tblGrid>
        <w:gridCol w:w="4871"/>
        <w:gridCol w:w="146"/>
        <w:gridCol w:w="211"/>
        <w:gridCol w:w="781"/>
        <w:gridCol w:w="146"/>
        <w:gridCol w:w="146"/>
        <w:gridCol w:w="211"/>
        <w:gridCol w:w="781"/>
        <w:gridCol w:w="591"/>
      </w:tblGrid>
      <w:tr>
        <w:trPr/>
        <w:tc>
          <w:tcPr>
            <w:tcW w:w="4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vested and unvested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RSU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convertible preferred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had 0 anti-dilutive shares for the years ended December 31, 2025 and 2024,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Goodwill and Intangible Assets </w:t>
      </w:r>
    </w:p>
    <w:p>
      <w:pPr>
        <w:pStyle w:val="TextBody"/>
        <w:bidi w:val="0"/>
        <w:spacing w:before="120" w:after="283"/>
        <w:jc w:val="left"/>
        <w:rPr>
          <w:rFonts w:ascii="Times New Roman" w:hAnsi="Times New Roman"/>
          <w:sz w:val="20"/>
        </w:rPr>
      </w:pPr>
      <w:r>
        <w:rPr>
          <w:rFonts w:ascii="Times New Roman" w:hAnsi="Times New Roman"/>
          <w:b/>
          <w:i/>
          <w:color w:val="000000"/>
          <w:sz w:val="20"/>
        </w:rPr>
        <w:t>Data – Company 1</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fourth quarter of 2021, the Company entered into a cross-license agreement with an independent third-party insurance company (“Company 1”) whereby the Company would receive historical data, refreshed on a periodic basis, in exchange for a license to use the Company’s proprietary software (once development is complete), common stock, and common stock warrants. The Company recorded deferred revenue of $90 for the promised software license to Company 1. This data is of significant value to the Company in development of its proprietary software. The Company determined a fair value of $2,379 for this data. In March 2023, the Company entered into an amended and restated agreement with Company 1 to sunset the data refresh provisions of the contract. Based on this change in contractual terms, the Company determined that the value of the data was not impaired and that the useful lives of the intangible data asset should be changed from indefinite to three years and began amortization in 2023. Amortization totaled $792 and $795 for 2025 and 2024,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Data – Company 2</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fourth quarter of 2021, the Company entered into a cross-license agreement with an independent third-party insurance company (“Company 2”) whereby the Company would receive historical data, refreshed on a periodic basis, in exchange for a license to use the Company’s proprietary software (once development is complete), and common stock warrants. This data is of significant value to the Company in development of its proprietary software. The Company determined a fair value of $821 for this data. During 2022, Company 2 was placed into receivership by the FLOIR and data refreshes were discontinued. As a result, the Company determined the value of the data was not impaired and that the useful lives of the intangible data asset should be changed from indefinite to three years. The Company recorded deferred revenue of $90 in 2021 for the promised software license to Company 2. Due to the receivership and discontinued operations of Company 2 in 2022, the Company has written off deferred revenue of $90 in 2022. As a result of this writeoff, the carrying value of the intangible asset was reduced from $821 to $732. Amortization totaled $0 and $271 for 2025 and 2024,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Renewal Rights – SJIG Target LLC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first quarter of 2022, the Company acquired the renewal rights for over 60,000 policies via the acquisition of SJIG for $25 million. The purchase price included $15 million of cash and $10 million of notes issued to the former owners of SJIG, maturing in 2027. The acquired renewal rights were determined to have a useful life of 46 months, ending December 31, 2025. In 2025 and 2024, amortization of the renewal rights totaled $6,522 and $6,521,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Renewal Rights – Clegg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second quarter of 2022, the Company acquired 100% of the stock and ownership interests of Clegg Insurance Group, Inc. and Clegg Insurance Advisors, LLC (collectively, “Clegg”). The Company acquired renewal rights, initially valued at $1,553, which were estimated using financial projections developed by management for the acquired business and reflects market participant assumptions regarding revenue growth and/or profitability. The renewal rights were determined to have a useful life of four years. In December of 2023, the Company sold the commercial book of business of Clegg, which resulted in a decrease to the intangible asset of $435. In 2025 and 2024, amortization of the renewal rights totaled $279 and $281,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Clegg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second quarter of 2022, the Company acquired 100% of the stock and ownership interests of Clegg. The Company paid cash and other consideration in excess of net assets totaling $2,603. This excess was allocated as Goodwill.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and 2024, goodwill was $2,603 and $2,603, respectively. </w:t>
      </w:r>
    </w:p>
    <w:p>
      <w:pPr>
        <w:pStyle w:val="TextBody"/>
        <w:bidi w:val="0"/>
        <w:jc w:val="left"/>
        <w:rPr/>
      </w:pPr>
      <w:r>
        <w:rPr/>
        <w:t> </w:t>
      </w:r>
    </w:p>
    <w:tbl>
      <w:tblPr>
        <w:tblW w:w="5684" w:type="dxa"/>
        <w:jc w:val="left"/>
        <w:tblInd w:w="0" w:type="dxa"/>
        <w:tblLayout w:type="fixed"/>
        <w:tblCellMar>
          <w:top w:w="28" w:type="dxa"/>
          <w:left w:w="28" w:type="dxa"/>
          <w:bottom w:w="28" w:type="dxa"/>
          <w:right w:w="28" w:type="dxa"/>
        </w:tblCellMar>
      </w:tblPr>
      <w:tblGrid>
        <w:gridCol w:w="3091"/>
        <w:gridCol w:w="346"/>
        <w:gridCol w:w="211"/>
        <w:gridCol w:w="571"/>
        <w:gridCol w:w="146"/>
        <w:gridCol w:w="146"/>
        <w:gridCol w:w="211"/>
        <w:gridCol w:w="571"/>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balance, beginning of year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acquired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 balance, end of year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table below details the finite-lived intangible assets, net as of December 31, 2025 and the indefinite and finite-lived intangible assets for December 31, 2024, respectively: </w:t>
      </w:r>
    </w:p>
    <w:p>
      <w:pPr>
        <w:pStyle w:val="TextBody"/>
        <w:bidi w:val="0"/>
        <w:jc w:val="left"/>
        <w:rPr/>
      </w:pPr>
      <w:r>
        <w:rPr/>
        <w:t> </w:t>
      </w:r>
    </w:p>
    <w:tbl>
      <w:tblPr>
        <w:tblW w:w="7723" w:type="dxa"/>
        <w:jc w:val="left"/>
        <w:tblInd w:w="0" w:type="dxa"/>
        <w:tblLayout w:type="fixed"/>
        <w:tblCellMar>
          <w:top w:w="28" w:type="dxa"/>
          <w:left w:w="28" w:type="dxa"/>
          <w:bottom w:w="28" w:type="dxa"/>
          <w:right w:w="28" w:type="dxa"/>
        </w:tblCellMar>
      </w:tblPr>
      <w:tblGrid>
        <w:gridCol w:w="2926"/>
        <w:gridCol w:w="146"/>
        <w:gridCol w:w="211"/>
        <w:gridCol w:w="676"/>
        <w:gridCol w:w="146"/>
        <w:gridCol w:w="146"/>
        <w:gridCol w:w="240"/>
        <w:gridCol w:w="841"/>
        <w:gridCol w:w="166"/>
        <w:gridCol w:w="146"/>
        <w:gridCol w:w="295"/>
        <w:gridCol w:w="486"/>
        <w:gridCol w:w="146"/>
        <w:gridCol w:w="146"/>
        <w:gridCol w:w="100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Renewal Rights - SJIG Target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 months</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 Company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Renewal Rights - Clegg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years</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 Company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7724" w:type="dxa"/>
        <w:jc w:val="left"/>
        <w:tblInd w:w="0" w:type="dxa"/>
        <w:tblLayout w:type="fixed"/>
        <w:tblCellMar>
          <w:top w:w="28" w:type="dxa"/>
          <w:left w:w="28" w:type="dxa"/>
          <w:bottom w:w="28" w:type="dxa"/>
          <w:right w:w="28" w:type="dxa"/>
        </w:tblCellMar>
      </w:tblPr>
      <w:tblGrid>
        <w:gridCol w:w="2926"/>
        <w:gridCol w:w="146"/>
        <w:gridCol w:w="211"/>
        <w:gridCol w:w="676"/>
        <w:gridCol w:w="146"/>
        <w:gridCol w:w="146"/>
        <w:gridCol w:w="240"/>
        <w:gridCol w:w="841"/>
        <w:gridCol w:w="166"/>
        <w:gridCol w:w="146"/>
        <w:gridCol w:w="211"/>
        <w:gridCol w:w="571"/>
        <w:gridCol w:w="146"/>
        <w:gridCol w:w="146"/>
        <w:gridCol w:w="100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Renewal Rights - SJIG Target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 months</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 Company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Renewal Rights - Clegg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years</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 Company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and 2024, intangible assets were $99 and $7,692, respectively. Amortization expense for intangible assets after December 31, 2025 is as follows: </w:t>
      </w:r>
    </w:p>
    <w:p>
      <w:pPr>
        <w:pStyle w:val="TextBody"/>
        <w:bidi w:val="0"/>
        <w:jc w:val="left"/>
        <w:rPr/>
      </w:pPr>
      <w:r>
        <w:rPr/>
        <w:t> </w:t>
      </w:r>
    </w:p>
    <w:tbl>
      <w:tblPr>
        <w:tblW w:w="1959" w:type="dxa"/>
        <w:jc w:val="left"/>
        <w:tblInd w:w="0" w:type="dxa"/>
        <w:tblLayout w:type="fixed"/>
        <w:tblCellMar>
          <w:top w:w="28" w:type="dxa"/>
          <w:left w:w="28" w:type="dxa"/>
          <w:bottom w:w="28" w:type="dxa"/>
          <w:right w:w="28" w:type="dxa"/>
        </w:tblCellMar>
      </w:tblPr>
      <w:tblGrid>
        <w:gridCol w:w="541"/>
        <w:gridCol w:w="146"/>
        <w:gridCol w:w="432"/>
        <w:gridCol w:w="649"/>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 xml:space="preserve">Fixed-Maturity Securities Available-For-Sale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amortized cost, gross unrealized gains and losses, and estimated fair value of investments in fixed-maturity securities available-for-sale at December 31, are as follows: </w:t>
      </w:r>
    </w:p>
    <w:p>
      <w:pPr>
        <w:pStyle w:val="TextBody"/>
        <w:bidi w:val="0"/>
        <w:jc w:val="left"/>
        <w:rPr/>
      </w:pPr>
      <w:r>
        <w:rPr/>
        <w:t> </w:t>
      </w:r>
    </w:p>
    <w:tbl>
      <w:tblPr>
        <w:tblW w:w="9010"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39"/>
        <w:gridCol w:w="647"/>
        <w:gridCol w:w="146"/>
        <w:gridCol w:w="146"/>
        <w:gridCol w:w="270"/>
        <w:gridCol w:w="616"/>
        <w:gridCol w:w="166"/>
        <w:gridCol w:w="146"/>
        <w:gridCol w:w="211"/>
        <w:gridCol w:w="78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151"/>
        <w:gridCol w:w="146"/>
        <w:gridCol w:w="211"/>
        <w:gridCol w:w="781"/>
        <w:gridCol w:w="146"/>
        <w:gridCol w:w="146"/>
        <w:gridCol w:w="239"/>
        <w:gridCol w:w="647"/>
        <w:gridCol w:w="146"/>
        <w:gridCol w:w="146"/>
        <w:gridCol w:w="222"/>
        <w:gridCol w:w="664"/>
        <w:gridCol w:w="166"/>
        <w:gridCol w:w="146"/>
        <w:gridCol w:w="211"/>
        <w:gridCol w:w="781"/>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states, territories and possessions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and miscellaneous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Political subdivisions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Hybrid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amortized cost and estimated fair value of investments in fixed-maturity securities at December 31, 2025, by contractual maturity, are shown below. </w:t>
      </w:r>
    </w:p>
    <w:p>
      <w:pPr>
        <w:pStyle w:val="TextBody"/>
        <w:bidi w:val="0"/>
        <w:jc w:val="left"/>
        <w:rPr/>
      </w:pPr>
      <w:r>
        <w:rPr/>
        <w:t> </w:t>
      </w:r>
    </w:p>
    <w:tbl>
      <w:tblPr>
        <w:tblW w:w="7987" w:type="dxa"/>
        <w:jc w:val="left"/>
        <w:tblInd w:w="0" w:type="dxa"/>
        <w:tblLayout w:type="fixed"/>
        <w:tblCellMar>
          <w:top w:w="28" w:type="dxa"/>
          <w:left w:w="28" w:type="dxa"/>
          <w:bottom w:w="28" w:type="dxa"/>
          <w:right w:w="28" w:type="dxa"/>
        </w:tblCellMar>
      </w:tblPr>
      <w:tblGrid>
        <w:gridCol w:w="2806"/>
        <w:gridCol w:w="146"/>
        <w:gridCol w:w="211"/>
        <w:gridCol w:w="781"/>
        <w:gridCol w:w="146"/>
        <w:gridCol w:w="146"/>
        <w:gridCol w:w="211"/>
        <w:gridCol w:w="781"/>
        <w:gridCol w:w="146"/>
        <w:gridCol w:w="146"/>
        <w:gridCol w:w="211"/>
        <w:gridCol w:w="781"/>
        <w:gridCol w:w="146"/>
        <w:gridCol w:w="146"/>
        <w:gridCol w:w="211"/>
        <w:gridCol w:w="78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ten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Actual maturities may differ from contractual maturities, as the issuers of the securities may have the right to call or prepay obligations with or without penalty.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show the Company’s investments estimated fair value and gross unrealized losses, aggregated by investment category and length of time that individual securities have been in a continuous unrealized loss position at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90"/>
        <w:gridCol w:w="146"/>
        <w:gridCol w:w="211"/>
        <w:gridCol w:w="676"/>
        <w:gridCol w:w="146"/>
        <w:gridCol w:w="146"/>
        <w:gridCol w:w="270"/>
        <w:gridCol w:w="616"/>
        <w:gridCol w:w="166"/>
        <w:gridCol w:w="146"/>
        <w:gridCol w:w="222"/>
        <w:gridCol w:w="604"/>
        <w:gridCol w:w="146"/>
        <w:gridCol w:w="146"/>
        <w:gridCol w:w="318"/>
        <w:gridCol w:w="568"/>
        <w:gridCol w:w="166"/>
        <w:gridCol w:w="146"/>
        <w:gridCol w:w="211"/>
        <w:gridCol w:w="676"/>
        <w:gridCol w:w="146"/>
        <w:gridCol w:w="146"/>
        <w:gridCol w:w="270"/>
        <w:gridCol w:w="616"/>
        <w:gridCol w:w="211"/>
      </w:tblGrid>
      <w:tr>
        <w:trPr/>
        <w:tc>
          <w:tcPr>
            <w:tcW w:w="3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total of 61 securities had unrealized losses at December 31, 2025. The Company’s unrealized losses relate to its portfolio of fixed-maturity securities. The Company’s unrealized losses on its fixed-maturity securities were caused by interest rate changes. The Company regularly reviews its individual investment securities for credit impairment. The Company considers various factors in determining whether a credit loss exists for each individual security,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condition and near-term prospects of the issuer, including any specific events that may affect its operations or earnings;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the market value of the security has been below its cost or amortized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conditions and industry or sector specific factors and other qualitative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nonpayment by the issuer of its contractually obligated interest and principal payments;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intent and ability to hold the investment for a period of time sufficient to allow for the recovery of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show the Company’s investments estimated fair value and gross unrealized losses, aggregated by investment category and length of time that individual securities have been in a continuous unrealized loss position at December 31, 2024. </w:t>
      </w:r>
    </w:p>
    <w:p>
      <w:pPr>
        <w:pStyle w:val="TextBody"/>
        <w:bidi w:val="0"/>
        <w:jc w:val="left"/>
        <w:rPr/>
      </w:pPr>
      <w:r>
        <w:rPr/>
        <w:t> </w:t>
      </w:r>
    </w:p>
    <w:tbl>
      <w:tblPr>
        <w:tblW w:w="10192" w:type="dxa"/>
        <w:jc w:val="left"/>
        <w:tblInd w:w="0" w:type="dxa"/>
        <w:tblLayout w:type="fixed"/>
        <w:tblCellMar>
          <w:top w:w="28" w:type="dxa"/>
          <w:left w:w="28" w:type="dxa"/>
          <w:bottom w:w="28" w:type="dxa"/>
          <w:right w:w="28" w:type="dxa"/>
        </w:tblCellMar>
      </w:tblPr>
      <w:tblGrid>
        <w:gridCol w:w="2806"/>
        <w:gridCol w:w="146"/>
        <w:gridCol w:w="211"/>
        <w:gridCol w:w="781"/>
        <w:gridCol w:w="146"/>
        <w:gridCol w:w="146"/>
        <w:gridCol w:w="222"/>
        <w:gridCol w:w="664"/>
        <w:gridCol w:w="166"/>
        <w:gridCol w:w="146"/>
        <w:gridCol w:w="211"/>
        <w:gridCol w:w="676"/>
        <w:gridCol w:w="146"/>
        <w:gridCol w:w="146"/>
        <w:gridCol w:w="270"/>
        <w:gridCol w:w="616"/>
        <w:gridCol w:w="166"/>
        <w:gridCol w:w="146"/>
        <w:gridCol w:w="211"/>
        <w:gridCol w:w="781"/>
        <w:gridCol w:w="146"/>
        <w:gridCol w:w="146"/>
        <w:gridCol w:w="222"/>
        <w:gridCol w:w="664"/>
        <w:gridCol w:w="21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states, territories and possess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and miscellaneous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Political subdivisions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Hybrid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total of 125 securities had unrealized losses at December 31, 2024. The Company’s unrealized losses relate to its portfolio of fixed-maturity securities. The Company’s unrealized losses on its fixed-maturity securities were caused by interest rate changes. Since the declines in estimated fair value are attributable to changes in interest rates and not credit quality, and the Company has the intent and ability to hold these securities through a recovery of unrealized losses, even if until maturity of the individual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the Company does not consider these investments to need a credit impairment reserve under CECL. The Company realized no credit loss on investments in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years ended December 31, 2025 and 2024, the Company recognized $0 credit loss expense related to fixed-maturity securities in the consolidated statements of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Proceeds from maturities, and redemptions of fixed-maturities securities were $84,869 and $40,024 in 2025 and 2024, respectively, with realized gross losses of $13 and $10 on these sales, maturities, and redemptions.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and 2024, SIH had restricted cash of $481,758 and $296,433, respectively, consisting of funds on deposit with regulatory authorities, as required by law and funds held in trust by the VIE where the Company is the primary beneficiary.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Major categories of net investment income, excluding realized gains, are summarized as follows: </w:t>
      </w:r>
    </w:p>
    <w:p>
      <w:pPr>
        <w:pStyle w:val="TextBody"/>
        <w:bidi w:val="0"/>
        <w:jc w:val="left"/>
        <w:rPr/>
      </w:pPr>
      <w:r>
        <w:rPr/>
        <w:t> </w:t>
      </w:r>
    </w:p>
    <w:tbl>
      <w:tblPr>
        <w:tblW w:w="6604" w:type="dxa"/>
        <w:jc w:val="left"/>
        <w:tblInd w:w="0" w:type="dxa"/>
        <w:tblLayout w:type="fixed"/>
        <w:tblCellMar>
          <w:top w:w="28" w:type="dxa"/>
          <w:left w:w="28" w:type="dxa"/>
          <w:bottom w:w="28" w:type="dxa"/>
          <w:right w:w="28" w:type="dxa"/>
        </w:tblCellMar>
      </w:tblPr>
      <w:tblGrid>
        <w:gridCol w:w="3801"/>
        <w:gridCol w:w="146"/>
        <w:gridCol w:w="211"/>
        <w:gridCol w:w="676"/>
        <w:gridCol w:w="146"/>
        <w:gridCol w:w="146"/>
        <w:gridCol w:w="211"/>
        <w:gridCol w:w="676"/>
        <w:gridCol w:w="591"/>
      </w:tblGrid>
      <w:tr>
        <w:trPr/>
        <w:tc>
          <w:tcPr>
            <w:tcW w:w="3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fixed-maturity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47,989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47,061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Fair Value of Financial Assets and Liabilities </w:t>
      </w:r>
    </w:p>
    <w:p>
      <w:pPr>
        <w:pStyle w:val="TextBody"/>
        <w:bidi w:val="0"/>
        <w:spacing w:before="120" w:after="283"/>
        <w:jc w:val="left"/>
        <w:rPr>
          <w:rFonts w:ascii="Times New Roman" w:hAnsi="Times New Roman"/>
          <w:sz w:val="20"/>
        </w:rPr>
      </w:pPr>
      <w:r>
        <w:rPr>
          <w:rFonts w:ascii="Times New Roman" w:hAnsi="Times New Roman"/>
          <w:b/>
          <w:i/>
          <w:color w:val="000000"/>
          <w:sz w:val="20"/>
        </w:rPr>
        <w:t>Valuation Hierarchy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FASB established a valuation hierarchy for disclosure of the inputs used to measure estimated fair value. This hierarchy categorizes the inputs into three broad levels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inputs to the valuation methodology are unadjusted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inputs to the valuation methodology are quoted prices for similar assets or liabilities in active markets or inputs that are observable for the asset or liability, either directly or indirectly through market corroboration, for substantially the full term of the financial instrument.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inputs are unobservable inputs that are supported by little or no market activity and are significant to the determination of estimated fair value of the assets or liabilities. Unobservable inputs reflect the entity’s assumptions about the assumptions that market participants would use in pricing the asset or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by level the financial assets carried at estimated fair value measured on a recurring basis as of December 31. The tables do not include assets which are measured at historical cost or any basis other than estimated fair value. </w:t>
      </w:r>
    </w:p>
    <w:p>
      <w:pPr>
        <w:pStyle w:val="TextBody"/>
        <w:bidi w:val="0"/>
        <w:jc w:val="left"/>
        <w:rPr/>
      </w:pPr>
      <w:r>
        <w:rPr/>
        <w:t> </w:t>
      </w:r>
    </w:p>
    <w:tbl>
      <w:tblPr>
        <w:tblW w:w="9759" w:type="dxa"/>
        <w:jc w:val="left"/>
        <w:tblInd w:w="0" w:type="dxa"/>
        <w:tblLayout w:type="fixed"/>
        <w:tblCellMar>
          <w:top w:w="28" w:type="dxa"/>
          <w:left w:w="28" w:type="dxa"/>
          <w:bottom w:w="28" w:type="dxa"/>
          <w:right w:w="28" w:type="dxa"/>
        </w:tblCellMar>
      </w:tblPr>
      <w:tblGrid>
        <w:gridCol w:w="3006"/>
        <w:gridCol w:w="146"/>
        <w:gridCol w:w="211"/>
        <w:gridCol w:w="931"/>
        <w:gridCol w:w="146"/>
        <w:gridCol w:w="146"/>
        <w:gridCol w:w="211"/>
        <w:gridCol w:w="931"/>
        <w:gridCol w:w="146"/>
        <w:gridCol w:w="146"/>
        <w:gridCol w:w="211"/>
        <w:gridCol w:w="781"/>
        <w:gridCol w:w="146"/>
        <w:gridCol w:w="146"/>
        <w:gridCol w:w="239"/>
        <w:gridCol w:w="391"/>
        <w:gridCol w:w="146"/>
        <w:gridCol w:w="146"/>
        <w:gridCol w:w="211"/>
        <w:gridCol w:w="931"/>
        <w:gridCol w:w="391"/>
      </w:tblGrid>
      <w:tr>
        <w:trPr/>
        <w:tc>
          <w:tcPr>
            <w:tcW w:w="3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 variable interest</w:t>
              <w:br/>
              <w: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2,263,090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2,000,588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2,272,688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761" w:type="dxa"/>
        <w:jc w:val="left"/>
        <w:tblInd w:w="0" w:type="dxa"/>
        <w:tblLayout w:type="fixed"/>
        <w:tblCellMar>
          <w:top w:w="28" w:type="dxa"/>
          <w:left w:w="28" w:type="dxa"/>
          <w:bottom w:w="28" w:type="dxa"/>
          <w:right w:w="28" w:type="dxa"/>
        </w:tblCellMar>
      </w:tblPr>
      <w:tblGrid>
        <w:gridCol w:w="3006"/>
        <w:gridCol w:w="146"/>
        <w:gridCol w:w="211"/>
        <w:gridCol w:w="931"/>
        <w:gridCol w:w="146"/>
        <w:gridCol w:w="146"/>
        <w:gridCol w:w="211"/>
        <w:gridCol w:w="931"/>
        <w:gridCol w:w="146"/>
        <w:gridCol w:w="146"/>
        <w:gridCol w:w="211"/>
        <w:gridCol w:w="781"/>
        <w:gridCol w:w="146"/>
        <w:gridCol w:w="146"/>
        <w:gridCol w:w="211"/>
        <w:gridCol w:w="421"/>
        <w:gridCol w:w="146"/>
        <w:gridCol w:w="146"/>
        <w:gridCol w:w="211"/>
        <w:gridCol w:w="931"/>
        <w:gridCol w:w="391"/>
      </w:tblGrid>
      <w:tr>
        <w:trPr/>
        <w:tc>
          <w:tcPr>
            <w:tcW w:w="3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 variable interest</w:t>
              <w:br/>
              <w: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1,254,427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1,113,591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1,254,808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financial instrument’s classification within the valuation hierarchy is based upon the lowest level of input that is significant to the estimated fair value measurement; consequently, if there are multiple significant valuation inputs that are categorized in different levels of the hierarchy, the instrument’s hierarchy level is the lowest level within which any significant input falls.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1 category includes cash and cash equivalents, restricted cash, money market securities, certificates of deposit, U.S. treasury bonds, and corporate bonds.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2 category generally includes municipal bonds and asset-backed securities. The estimated fair value of fixed-maturity investments included in the Level 2 category was based on the market values obtained from pricing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observable inputs are not available, the market standard valuation methodologies for determining the estimated fair value of certain types of securities that trade infrequently, and therefore have little or no price transparency, rely on inputs that are significant to the estimated fair value that are not observable in the market, or which cannot be derived principally from or corroborated by observable market data. These unobservable inputs can be based in large part on management’s judgment or estimation and cannot be supported by reference or market activity. Generally, these investments are classified as Level 3.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various financial instruments in the normal course of its business. In the measurement of the estimated fair value of certain financial instruments, other valuation techniques were utilized if quoted market prices were not available. These derived fair value estimates are significantly affected by the assumptions used. Additionally, excluded from the scope of financial instruments are certain financial instruments, including those related to insurance contracts, pension and other postretirement benefits, and equity method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estimating the fair value of the financial instruments presented, the Company used the following methods and assumptions: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 is a reasonable estimate of fair value, due to the short-term maturity of these investments. These assets are considered to be Level 1 assets. </w:t>
      </w:r>
    </w:p>
    <w:p>
      <w:pPr>
        <w:pStyle w:val="TextBody"/>
        <w:bidi w:val="0"/>
        <w:spacing w:before="360" w:after="283"/>
        <w:jc w:val="left"/>
        <w:rPr>
          <w:rFonts w:ascii="Times New Roman" w:hAnsi="Times New Roman"/>
          <w:sz w:val="20"/>
        </w:rPr>
      </w:pPr>
      <w:r>
        <w:rPr>
          <w:rFonts w:ascii="Times New Roman" w:hAnsi="Times New Roman"/>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cash represents cash held by state authorities and the carrying value approximates fair value. Restricted cash also includes cash held in trust by the VIE where the Company is the primary beneficiary and the carrying value approximates fair value.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Fixed-Maturity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Fixed-Maturity securities represent investments held at fair value in U.S. government and agencies, municipalities and political subdivisions, corporate bonds, states, and asset-backed securities. U.S. government and agencies bonds and corporate bonds are considered to be Level 1 assets due to readily available pricing. Municipalities and political subdivisions, corporate bonds, states, and asset-backed securities are considered to be Level 2 assets due to valuations based on observable inputs. </w:t>
      </w:r>
    </w:p>
    <w:p>
      <w:pPr>
        <w:pStyle w:val="TextBody"/>
        <w:bidi w:val="0"/>
        <w:spacing w:before="360" w:after="283"/>
        <w:jc w:val="left"/>
        <w:rPr>
          <w:rFonts w:ascii="Times New Roman" w:hAnsi="Times New Roman"/>
          <w:sz w:val="20"/>
        </w:rPr>
      </w:pPr>
      <w:r>
        <w:rPr>
          <w:rFonts w:ascii="Times New Roman" w:hAnsi="Times New Roman"/>
          <w:i/>
          <w:color w:val="000000"/>
          <w:sz w:val="20"/>
        </w:rPr>
        <w:t>Long-Term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components of the Company’s long-term debt and methods used in estimating their fair values: </w:t>
      </w:r>
    </w:p>
    <w:p>
      <w:pPr>
        <w:pStyle w:val="TextBody"/>
        <w:bidi w:val="0"/>
        <w:jc w:val="left"/>
        <w:rPr/>
      </w:pPr>
      <w:r>
        <w:rPr/>
        <w:t> </w:t>
      </w:r>
    </w:p>
    <w:tbl>
      <w:tblPr>
        <w:tblW w:w="8785" w:type="dxa"/>
        <w:jc w:val="left"/>
        <w:tblInd w:w="0" w:type="dxa"/>
        <w:tblLayout w:type="fixed"/>
        <w:tblCellMar>
          <w:top w:w="28" w:type="dxa"/>
          <w:left w:w="28" w:type="dxa"/>
          <w:bottom w:w="28" w:type="dxa"/>
          <w:right w:w="28" w:type="dxa"/>
        </w:tblCellMar>
      </w:tblPr>
      <w:tblGrid>
        <w:gridCol w:w="3526"/>
        <w:gridCol w:w="146"/>
        <w:gridCol w:w="1156"/>
        <w:gridCol w:w="146"/>
        <w:gridCol w:w="38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Methodology</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Discounted cash flow method, Level 3 inputs</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Loan, variable rate of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Discounted cash flow method, Level 3 inputs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present fair value information for liabilities that are carried on the consolidated balance sheets at amounts other than fair value as of December 31, 2025 and 2024: </w:t>
      </w:r>
    </w:p>
    <w:p>
      <w:pPr>
        <w:pStyle w:val="TextBody"/>
        <w:bidi w:val="0"/>
        <w:jc w:val="left"/>
        <w:rPr/>
      </w:pPr>
      <w:r>
        <w:rPr/>
        <w:t> </w:t>
      </w:r>
    </w:p>
    <w:tbl>
      <w:tblPr>
        <w:tblW w:w="8457" w:type="dxa"/>
        <w:jc w:val="left"/>
        <w:tblInd w:w="0" w:type="dxa"/>
        <w:tblLayout w:type="fixed"/>
        <w:tblCellMar>
          <w:top w:w="28" w:type="dxa"/>
          <w:left w:w="28" w:type="dxa"/>
          <w:bottom w:w="28" w:type="dxa"/>
          <w:right w:w="28" w:type="dxa"/>
        </w:tblCellMar>
      </w:tblPr>
      <w:tblGrid>
        <w:gridCol w:w="2791"/>
        <w:gridCol w:w="146"/>
        <w:gridCol w:w="211"/>
        <w:gridCol w:w="676"/>
        <w:gridCol w:w="166"/>
        <w:gridCol w:w="146"/>
        <w:gridCol w:w="239"/>
        <w:gridCol w:w="391"/>
        <w:gridCol w:w="146"/>
        <w:gridCol w:w="146"/>
        <w:gridCol w:w="239"/>
        <w:gridCol w:w="391"/>
        <w:gridCol w:w="146"/>
        <w:gridCol w:w="146"/>
        <w:gridCol w:w="211"/>
        <w:gridCol w:w="676"/>
        <w:gridCol w:w="166"/>
        <w:gridCol w:w="146"/>
        <w:gridCol w:w="211"/>
        <w:gridCol w:w="67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0.00%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57" w:type="dxa"/>
        <w:jc w:val="left"/>
        <w:tblInd w:w="0" w:type="dxa"/>
        <w:tblLayout w:type="fixed"/>
        <w:tblCellMar>
          <w:top w:w="28" w:type="dxa"/>
          <w:left w:w="28" w:type="dxa"/>
          <w:bottom w:w="28" w:type="dxa"/>
          <w:right w:w="28" w:type="dxa"/>
        </w:tblCellMar>
      </w:tblPr>
      <w:tblGrid>
        <w:gridCol w:w="2791"/>
        <w:gridCol w:w="146"/>
        <w:gridCol w:w="211"/>
        <w:gridCol w:w="676"/>
        <w:gridCol w:w="166"/>
        <w:gridCol w:w="146"/>
        <w:gridCol w:w="239"/>
        <w:gridCol w:w="391"/>
        <w:gridCol w:w="146"/>
        <w:gridCol w:w="146"/>
        <w:gridCol w:w="239"/>
        <w:gridCol w:w="391"/>
        <w:gridCol w:w="146"/>
        <w:gridCol w:w="146"/>
        <w:gridCol w:w="211"/>
        <w:gridCol w:w="676"/>
        <w:gridCol w:w="166"/>
        <w:gridCol w:w="146"/>
        <w:gridCol w:w="211"/>
        <w:gridCol w:w="67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0.00%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Comprehensive Income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income (loss) includes net income (loss) and other comprehensive income or loss, which for the Company includes changes in unrealized gains or losses of investments carried at fair value and changes to any credit losses related to these investments. Reclassification adjustments for realized (gains) losses are reflected in net realized investment gains (losses)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the consolidated statements of income. The components of other comprehensive income or loss and the related tax effects allocated to each component were as follows: </w:t>
      </w:r>
    </w:p>
    <w:p>
      <w:pPr>
        <w:pStyle w:val="TextBody"/>
        <w:bidi w:val="0"/>
        <w:jc w:val="left"/>
        <w:rPr/>
      </w:pPr>
      <w:r>
        <w:rPr/>
        <w:t> </w:t>
      </w:r>
    </w:p>
    <w:tbl>
      <w:tblPr>
        <w:tblW w:w="6101" w:type="dxa"/>
        <w:jc w:val="left"/>
        <w:tblInd w:w="0" w:type="dxa"/>
        <w:tblLayout w:type="fixed"/>
        <w:tblCellMar>
          <w:top w:w="28" w:type="dxa"/>
          <w:left w:w="28" w:type="dxa"/>
          <w:bottom w:w="28" w:type="dxa"/>
          <w:right w:w="28" w:type="dxa"/>
        </w:tblCellMar>
      </w:tblPr>
      <w:tblGrid>
        <w:gridCol w:w="2656"/>
        <w:gridCol w:w="146"/>
        <w:gridCol w:w="211"/>
        <w:gridCol w:w="571"/>
        <w:gridCol w:w="146"/>
        <w:gridCol w:w="146"/>
        <w:gridCol w:w="259"/>
        <w:gridCol w:w="701"/>
        <w:gridCol w:w="146"/>
        <w:gridCol w:w="146"/>
        <w:gridCol w:w="211"/>
        <w:gridCol w:w="571"/>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Before</w:t>
              <w:br/>
              <w:t>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w:t>
              <w:br/>
              <w:t>Effect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of</w:t>
              <w:br/>
              <w:t>Tax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66" w:type="dxa"/>
        <w:jc w:val="left"/>
        <w:tblInd w:w="0" w:type="dxa"/>
        <w:tblLayout w:type="fixed"/>
        <w:tblCellMar>
          <w:top w:w="28" w:type="dxa"/>
          <w:left w:w="28" w:type="dxa"/>
          <w:bottom w:w="28" w:type="dxa"/>
          <w:right w:w="28" w:type="dxa"/>
        </w:tblCellMar>
      </w:tblPr>
      <w:tblGrid>
        <w:gridCol w:w="2941"/>
        <w:gridCol w:w="146"/>
        <w:gridCol w:w="211"/>
        <w:gridCol w:w="631"/>
        <w:gridCol w:w="166"/>
        <w:gridCol w:w="146"/>
        <w:gridCol w:w="293"/>
        <w:gridCol w:w="667"/>
        <w:gridCol w:w="166"/>
        <w:gridCol w:w="146"/>
        <w:gridCol w:w="211"/>
        <w:gridCol w:w="631"/>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Before</w:t>
              <w:br/>
              <w:t>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w:t>
              <w:br/>
              <w:t>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of</w:t>
              <w:br/>
              <w:t>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Deferred Policy Acquisition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policy acquisition costs consist of amounts paid for commissions and premium taxes that relate directly to and vary directly with the production of new and renewal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policy acquisition costs that the Company has capitalized and is amortizing over the effective periods of the related policies are as follows for the year ended December 31, 2025 and 2024: </w:t>
      </w:r>
    </w:p>
    <w:p>
      <w:pPr>
        <w:pStyle w:val="TextBody"/>
        <w:bidi w:val="0"/>
        <w:jc w:val="left"/>
        <w:rPr/>
      </w:pPr>
      <w:r>
        <w:rPr/>
        <w:t> </w:t>
      </w:r>
    </w:p>
    <w:tbl>
      <w:tblPr>
        <w:tblW w:w="5874" w:type="dxa"/>
        <w:jc w:val="left"/>
        <w:tblInd w:w="0" w:type="dxa"/>
        <w:tblLayout w:type="fixed"/>
        <w:tblCellMar>
          <w:top w:w="28" w:type="dxa"/>
          <w:left w:w="28" w:type="dxa"/>
          <w:bottom w:w="28" w:type="dxa"/>
          <w:right w:w="28" w:type="dxa"/>
        </w:tblCellMar>
      </w:tblPr>
      <w:tblGrid>
        <w:gridCol w:w="2761"/>
        <w:gridCol w:w="346"/>
        <w:gridCol w:w="211"/>
        <w:gridCol w:w="841"/>
        <w:gridCol w:w="166"/>
        <w:gridCol w:w="146"/>
        <w:gridCol w:w="211"/>
        <w:gridCol w:w="781"/>
        <w:gridCol w:w="411"/>
      </w:tblGrid>
      <w:tr>
        <w:trPr/>
        <w:tc>
          <w:tcPr>
            <w:tcW w:w="27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costs deferred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Ending balance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93,728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65,046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Loss and Loss Adjustment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establishes reserves for the estimated total unpaid costs of Loss and loss adjustment expenses (“LAE”). Loss and LAE reserves reflect management’s best estimate of the total cost of (i) claims that have been incurred, but not yet paid in full, and (ii) claims that have been incurred but not yet reported to the Company (“IBNR”). Reserves established by management represent an estimate of the outcome of future events and, as such, cannot be considered an exact calculation of our liability. Rather, loss and LAE reserves represent management’s best estimate of the Company’s liability based on the application of actuarial techniques and other projection methodologies and taking into consideration other facts and circumstances known at the balance sheet date. The process of establishing loss and LAE reserves is complex and inherently imprecise, as it involves the estimation of the outcome of future uncertain events. The impact of both internal and external variables on ultimate losses and LAE costs is difficult to estimate. In determining loss and LAE reserves, the Company gives careful consideration to all available data and actuarial analyses.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a claim is reported to the Company, the claims personnel establish a “case reserve” for the estimated amount of the ultimate amount payable to settle the claim. This estimate reflects an informed judgment based upon general insurance reserving practices and on the experience and knowledge of the claims adjuster. The individual estimating the reserve considers the nature and value of the specific claim, the severity of injury or damage, location, and the policy provisions relating to the type of loss. Case reserves are adjusted as more information becomes available. It is the Company’s policy to settle each claim as expeditiously as possible.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Reserves are closely monitored and are recalculated periodically using the most recent information on reported claims and a variety of actuarial techniques. Specifically, claims management personnel complete weekly and ongoing reviews of existing case reserves, new claims, changes to existing case reserves, and paid losses with respect to the current and prior years. As the Company continues to expand historical data regarding paid and incurred losses, the data is used to develop expected ultimate loss and LAE ratios, then these expected loss and LAE ratios are applied to earned premium to derive a reserve level for each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line of business. In connection with the determination of these reserves, other specific factors such as recent weather-related losses, trends in historical reported and paid losses, and litigation and judicial trends regarding liability will also be considered. Therefore, the expected loss ratio method, among other methods, is used to project an ultimate loss expectation, and then the related loss history must be regularly evaluated and loss expectations updated, with the possibility of variability from the initial estimate of ultimate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maintains IBNR reserves to provide for claims that have been incurred but have not been reported and subsequent development on reported claims. The IBNR reserve is determined by estimating the Company’s ultimate net liability for both reported and unreported claims and then subtracting the case reserves and payments made to date for reported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all accident years, the following estimation and analysis methods are principally used by the Company’s actuaries to estimate the ultimate cost of losses and LAE. These estimation and analysis methods are typically referred to as conventional actuarial methods.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Reported Development Method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Paid Development Method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Loss Method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Reported Bornhuetter-Ferguson (B-F) Method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Paid Bornhuetter-Ferguson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Selected reserves are based on a review of the indications from these methods as well as other considerations such as emergence since the most recent evaluation and number of open claims for a given accident period. There have been no significant changes in the actuarial methods and assumptions used during the years ended December 31, 2025 and 2024, from those previously employed.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Currently, the estimated ultimate liability is calculated using the principles and procedures described above, which are applied to the lines of business written. However, because the establishment of loss and LAE reserves is an inherently uncertain process, ultimate losses and LAE may exceed the established loss and LAE reserves and have a material, adverse effect on our results of operations and financial condition. Changes in estimates, or differences between estimates and amounts ultimately paid, are reflected in the operating results of the period during which such adjustments are made.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reported results, financial position and liquidity would be affected by likely changes in key assumptions that determine the net loss reserves. However, it is believed that a reasonably likely increase or decrease in the severity of claims could impact our net loss reserves.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Activity related to the loss and LAE reserves are summarized as follows: </w:t>
      </w:r>
    </w:p>
    <w:p>
      <w:pPr>
        <w:pStyle w:val="TextBody"/>
        <w:bidi w:val="0"/>
        <w:jc w:val="left"/>
        <w:rPr/>
      </w:pPr>
      <w:r>
        <w:rPr/>
        <w:t> </w:t>
      </w:r>
    </w:p>
    <w:tbl>
      <w:tblPr>
        <w:tblW w:w="5574" w:type="dxa"/>
        <w:jc w:val="left"/>
        <w:tblInd w:w="0" w:type="dxa"/>
        <w:tblLayout w:type="fixed"/>
        <w:tblCellMar>
          <w:top w:w="28" w:type="dxa"/>
          <w:left w:w="28" w:type="dxa"/>
          <w:bottom w:w="28" w:type="dxa"/>
          <w:right w:w="28" w:type="dxa"/>
        </w:tblCellMar>
      </w:tblPr>
      <w:tblGrid>
        <w:gridCol w:w="2521"/>
        <w:gridCol w:w="146"/>
        <w:gridCol w:w="211"/>
        <w:gridCol w:w="781"/>
        <w:gridCol w:w="166"/>
        <w:gridCol w:w="146"/>
        <w:gridCol w:w="211"/>
        <w:gridCol w:w="781"/>
        <w:gridCol w:w="6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249,567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reinsurance recoverables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balances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Incurred related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339,293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 related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229,332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balances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reinsurance recoverables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595,487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establishment of loss and LAE reserves is an inherently uncertain process and changes in loss and LAE reserve estimates are expected as these estimates are subject to the outcome of future events. Changes in estimates, or differences between estimates and amounts ultimately paid, are reflected in the operating results of the period during which such adjustments are adjusted. During the year ended December 31, 2025, the Company recognized favorable development of losses related to prior years of approximately $81,848 primarily to reduce non-catastrophe reserves in response to lower than expected payments. During the year ended December 31, 2024, the Company recognized favorable development of losses related to prior years of approximately $22,968 primarily to reduce non-catastrophe reserves in response to lower than expected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supplementary information about incurred and paid losses and LAE development as of December 31, 2025, net of reinsurance, as well as cumulative claim frequency and the total of incurred-but-not-reported liabilities plus expected development on reported claims included within the net incurred losses and LAE amounts. The information about incurred and paid losses and LAE development for the years ended December 31, 2024, 2023, and 2022 is presented as supplementary information and is unaudited. The information about incurred and paid losses and LAE development for the years ended December 31, 2020 to December 31, 2021, is presented for illustration purposes as the Company did not have any premiums or losses in those accident years.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4"/>
        <w:gridCol w:w="146"/>
        <w:gridCol w:w="146"/>
        <w:gridCol w:w="346"/>
        <w:gridCol w:w="146"/>
        <w:gridCol w:w="146"/>
        <w:gridCol w:w="146"/>
        <w:gridCol w:w="346"/>
        <w:gridCol w:w="146"/>
        <w:gridCol w:w="146"/>
        <w:gridCol w:w="146"/>
        <w:gridCol w:w="781"/>
        <w:gridCol w:w="146"/>
        <w:gridCol w:w="146"/>
        <w:gridCol w:w="146"/>
        <w:gridCol w:w="781"/>
        <w:gridCol w:w="146"/>
        <w:gridCol w:w="146"/>
        <w:gridCol w:w="146"/>
        <w:gridCol w:w="781"/>
        <w:gridCol w:w="146"/>
        <w:gridCol w:w="146"/>
        <w:gridCol w:w="211"/>
        <w:gridCol w:w="781"/>
        <w:gridCol w:w="146"/>
        <w:gridCol w:w="146"/>
        <w:gridCol w:w="171"/>
        <w:gridCol w:w="921"/>
        <w:gridCol w:w="146"/>
        <w:gridCol w:w="146"/>
        <w:gridCol w:w="170"/>
        <w:gridCol w:w="789"/>
        <w:gridCol w:w="393"/>
      </w:tblGrid>
      <w:tr>
        <w:trPr/>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Incurred Loss and Loss Adjustment Expenses,</w:t>
              <w:br/>
              <w:t>Net of Reinsurance</w:t>
              <w:br/>
              <w:t>For the Years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of IBNR</w:t>
              <w:br/>
              <w:t>Plus Expected</w:t>
              <w:br/>
              <w:t>Development 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br/>
              <w:t>Number of</w:t>
              <w:br/>
              <w:t>Reported</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Accident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Reported Claims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Claims (a)</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901,508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The cumulative number of reported claims is measured as the number of per-policyholder, per-event claims for all coverages regardless of whether the claim results in loss or expense to the Company.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8307" w:type="dxa"/>
        <w:jc w:val="left"/>
        <w:tblInd w:w="0" w:type="dxa"/>
        <w:tblLayout w:type="fixed"/>
        <w:tblCellMar>
          <w:top w:w="28" w:type="dxa"/>
          <w:left w:w="28" w:type="dxa"/>
          <w:bottom w:w="28" w:type="dxa"/>
          <w:right w:w="28" w:type="dxa"/>
        </w:tblCellMar>
      </w:tblPr>
      <w:tblGrid>
        <w:gridCol w:w="1156"/>
        <w:gridCol w:w="146"/>
        <w:gridCol w:w="161"/>
        <w:gridCol w:w="382"/>
        <w:gridCol w:w="161"/>
        <w:gridCol w:w="161"/>
        <w:gridCol w:w="161"/>
        <w:gridCol w:w="382"/>
        <w:gridCol w:w="161"/>
        <w:gridCol w:w="161"/>
        <w:gridCol w:w="161"/>
        <w:gridCol w:w="747"/>
        <w:gridCol w:w="161"/>
        <w:gridCol w:w="161"/>
        <w:gridCol w:w="161"/>
        <w:gridCol w:w="863"/>
        <w:gridCol w:w="161"/>
        <w:gridCol w:w="161"/>
        <w:gridCol w:w="161"/>
        <w:gridCol w:w="863"/>
        <w:gridCol w:w="146"/>
        <w:gridCol w:w="146"/>
        <w:gridCol w:w="211"/>
        <w:gridCol w:w="781"/>
        <w:gridCol w:w="3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Paid Losses and Loss Adjustment Expenses, Net of Reinsurance</w:t>
              <w:br/>
              <w:t>For the 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Accident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104,197</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607,922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0" w:type="dxa"/>
            <w:gridSpan w:val="1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outstanding reserves before 2020, net of reinsurance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0" w:type="dxa"/>
            <w:gridSpan w:val="1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loss and loss adjustment expenses, net of reinsurance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supplementary and unaudited information about average historical claims duration as of December 31, 2025: </w:t>
      </w:r>
    </w:p>
    <w:p>
      <w:pPr>
        <w:pStyle w:val="TextBody"/>
        <w:bidi w:val="0"/>
        <w:jc w:val="left"/>
        <w:rPr/>
      </w:pPr>
      <w:r>
        <w:rPr/>
        <w:t> </w:t>
      </w:r>
    </w:p>
    <w:tbl>
      <w:tblPr>
        <w:tblW w:w="6197" w:type="dxa"/>
        <w:jc w:val="left"/>
        <w:tblInd w:w="0" w:type="dxa"/>
        <w:tblLayout w:type="fixed"/>
        <w:tblCellMar>
          <w:top w:w="28" w:type="dxa"/>
          <w:left w:w="28" w:type="dxa"/>
          <w:bottom w:w="28" w:type="dxa"/>
          <w:right w:w="28" w:type="dxa"/>
        </w:tblCellMar>
      </w:tblPr>
      <w:tblGrid>
        <w:gridCol w:w="1156"/>
        <w:gridCol w:w="146"/>
        <w:gridCol w:w="146"/>
        <w:gridCol w:w="466"/>
        <w:gridCol w:w="271"/>
        <w:gridCol w:w="146"/>
        <w:gridCol w:w="146"/>
        <w:gridCol w:w="466"/>
        <w:gridCol w:w="271"/>
        <w:gridCol w:w="146"/>
        <w:gridCol w:w="146"/>
        <w:gridCol w:w="466"/>
        <w:gridCol w:w="271"/>
        <w:gridCol w:w="146"/>
        <w:gridCol w:w="173"/>
        <w:gridCol w:w="427"/>
        <w:gridCol w:w="271"/>
        <w:gridCol w:w="146"/>
        <w:gridCol w:w="178"/>
        <w:gridCol w:w="422"/>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6"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Annual Percentage Payout of Incurred Claims by Age</w:t>
              <w:br/>
              <w:t>Net of Reinsurance 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Accident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files a consolidated federal income tax return. The effective income tax rate for 2025 and 2024 differs from the statutory federal income tax rate primarily due to state income taxes and permanent items, including nondeductible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income before provision for income taxes are as follows for December 31, 2025 and 2024 :</w:t>
      </w:r>
    </w:p>
    <w:p>
      <w:pPr>
        <w:pStyle w:val="TextBody"/>
        <w:bidi w:val="0"/>
        <w:spacing w:before="120" w:after="283"/>
        <w:jc w:val="left"/>
        <w:rPr/>
      </w:pPr>
      <w:r>
        <w:rPr/>
        <w:t> </w:t>
      </w:r>
    </w:p>
    <w:tbl>
      <w:tblPr>
        <w:tblW w:w="3994" w:type="dxa"/>
        <w:jc w:val="left"/>
        <w:tblInd w:w="0" w:type="dxa"/>
        <w:tblLayout w:type="fixed"/>
        <w:tblCellMar>
          <w:top w:w="28" w:type="dxa"/>
          <w:left w:w="28" w:type="dxa"/>
          <w:bottom w:w="28" w:type="dxa"/>
          <w:right w:w="28" w:type="dxa"/>
        </w:tblCellMar>
      </w:tblPr>
      <w:tblGrid>
        <w:gridCol w:w="1086"/>
        <w:gridCol w:w="146"/>
        <w:gridCol w:w="211"/>
        <w:gridCol w:w="781"/>
        <w:gridCol w:w="146"/>
        <w:gridCol w:w="146"/>
        <w:gridCol w:w="211"/>
        <w:gridCol w:w="676"/>
        <w:gridCol w:w="591"/>
      </w:tblGrid>
      <w:tr>
        <w:trPr/>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10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calculate our provision for federal and state income taxes based on current law. The following is a summary of our net provision for income taxes for December 31, 2025 and 2024 : </w:t>
      </w:r>
    </w:p>
    <w:p>
      <w:pPr>
        <w:pStyle w:val="TextBody"/>
        <w:bidi w:val="0"/>
        <w:jc w:val="left"/>
        <w:rPr/>
      </w:pPr>
      <w:r>
        <w:rPr/>
        <w:t> </w:t>
      </w:r>
    </w:p>
    <w:tbl>
      <w:tblPr>
        <w:tblW w:w="5674" w:type="dxa"/>
        <w:jc w:val="left"/>
        <w:tblInd w:w="0" w:type="dxa"/>
        <w:tblLayout w:type="fixed"/>
        <w:tblCellMar>
          <w:top w:w="28" w:type="dxa"/>
          <w:left w:w="28" w:type="dxa"/>
          <w:bottom w:w="28" w:type="dxa"/>
          <w:right w:w="28" w:type="dxa"/>
        </w:tblCellMar>
      </w:tblPr>
      <w:tblGrid>
        <w:gridCol w:w="2726"/>
        <w:gridCol w:w="146"/>
        <w:gridCol w:w="211"/>
        <w:gridCol w:w="781"/>
        <w:gridCol w:w="166"/>
        <w:gridCol w:w="146"/>
        <w:gridCol w:w="211"/>
        <w:gridCol w:w="676"/>
        <w:gridCol w:w="611"/>
      </w:tblGrid>
      <w:tr>
        <w:trPr/>
        <w:tc>
          <w:tcPr>
            <w:tcW w:w="2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Deferred taxes arise because of differences in the book and tax bases of certain assets and liabilities. Significant components of deferred tax assets and liabilities as of December 31, 2025 and 2024 are as follows:</w:t>
      </w:r>
    </w:p>
    <w:p>
      <w:pPr>
        <w:pStyle w:val="TextBody"/>
        <w:bidi w:val="0"/>
        <w:jc w:val="left"/>
        <w:rPr/>
      </w:pPr>
      <w:r>
        <w:rPr/>
        <w:t> </w:t>
      </w:r>
    </w:p>
    <w:tbl>
      <w:tblPr>
        <w:tblW w:w="6389" w:type="dxa"/>
        <w:jc w:val="left"/>
        <w:tblInd w:w="0" w:type="dxa"/>
        <w:tblLayout w:type="fixed"/>
        <w:tblCellMar>
          <w:top w:w="28" w:type="dxa"/>
          <w:left w:w="28" w:type="dxa"/>
          <w:bottom w:w="28" w:type="dxa"/>
          <w:right w:w="28" w:type="dxa"/>
        </w:tblCellMar>
      </w:tblPr>
      <w:tblGrid>
        <w:gridCol w:w="3426"/>
        <w:gridCol w:w="146"/>
        <w:gridCol w:w="211"/>
        <w:gridCol w:w="736"/>
        <w:gridCol w:w="166"/>
        <w:gridCol w:w="146"/>
        <w:gridCol w:w="211"/>
        <w:gridCol w:w="736"/>
        <w:gridCol w:w="61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Section 174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reserve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41,024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investment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accretion of discount on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17,371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valuation allowance must be established for deferred tax assets when it is more likely than not that the deferred tax assets will not be realized based on available evidence both positive and negative, including recent operating results, available tax planning strategies, and projected future taxable income. As of December 31, 2025 and 2024, management concluded, based on the evaluation of the positive and negative evidence, that it is more likely than not that the deferred tax assets will be realized and therefore no valuation allowance on the Company’s deferred tax assets is required.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reconciliation of the statutory federal income tax rate to our effective income tax rate, applying ASU 2023-09 retroactively,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50"/>
        <w:gridCol w:w="546"/>
        <w:gridCol w:w="211"/>
        <w:gridCol w:w="781"/>
        <w:gridCol w:w="166"/>
        <w:gridCol w:w="146"/>
        <w:gridCol w:w="156"/>
        <w:gridCol w:w="614"/>
        <w:gridCol w:w="321"/>
        <w:gridCol w:w="146"/>
        <w:gridCol w:w="211"/>
        <w:gridCol w:w="676"/>
        <w:gridCol w:w="146"/>
        <w:gridCol w:w="146"/>
        <w:gridCol w:w="156"/>
        <w:gridCol w:w="614"/>
        <w:gridCol w:w="719"/>
      </w:tblGrid>
      <w:tr>
        <w:trPr/>
        <w:tc>
          <w:tcPr>
            <w:tcW w:w="445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4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w:t>
              <w:br/>
              <w:t>Tax Rate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w:t>
              <w:br/>
              <w:t>Tax Rate</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U.S. federal statutory tax rate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b/>
                <w:color w:val="000000"/>
                <w:sz w:val="20"/>
              </w:rPr>
              <w:t>State and local income taxes, net of federal income tax effect</w:t>
            </w:r>
            <w:r>
              <w:rPr>
                <w:rFonts w:ascii="Arial" w:hAnsi="Arial"/>
                <w:b/>
                <w:color w:val="000000"/>
                <w:sz w:val="11"/>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Tax credits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Changes in valuation allowances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Nontaxable or nondeductible items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Compensation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162m</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unrecognized tax benefits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adjustments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7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Effective income tax rate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24.66</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25.41</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state that contributes to the majority (greater than 50%) of the tax effect in this category includes Florida for 2025 and Florida for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 income tax rate for 2025 was 24.66% compared to 25.41% for 2024. The decrease in the effective income tax rate was primarily due to the favorable treatment of stock options. The increase in the provision for income taxes was primarily due to the increase in income before income taxes in the current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paid for income taxes consisted of the following for December 31, 2025 and 2024 :</w:t>
      </w:r>
    </w:p>
    <w:p>
      <w:pPr>
        <w:pStyle w:val="TextBody"/>
        <w:bidi w:val="0"/>
        <w:jc w:val="left"/>
        <w:rPr/>
      </w:pPr>
      <w:r>
        <w:rPr/>
        <w:t> </w:t>
      </w:r>
    </w:p>
    <w:tbl>
      <w:tblPr>
        <w:tblW w:w="3789" w:type="dxa"/>
        <w:jc w:val="left"/>
        <w:tblInd w:w="0" w:type="dxa"/>
        <w:tblLayout w:type="fixed"/>
        <w:tblCellMar>
          <w:top w:w="28" w:type="dxa"/>
          <w:left w:w="28" w:type="dxa"/>
          <w:bottom w:w="28" w:type="dxa"/>
          <w:right w:w="28" w:type="dxa"/>
        </w:tblCellMar>
      </w:tblPr>
      <w:tblGrid>
        <w:gridCol w:w="986"/>
        <w:gridCol w:w="146"/>
        <w:gridCol w:w="211"/>
        <w:gridCol w:w="676"/>
        <w:gridCol w:w="146"/>
        <w:gridCol w:w="146"/>
        <w:gridCol w:w="211"/>
        <w:gridCol w:w="676"/>
        <w:gridCol w:w="591"/>
      </w:tblGrid>
      <w:tr>
        <w:trPr/>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2025, the individual jurisdiction with cash taxes paid that equaled or exceeded 50% of total income taxes paid was Florida. In 2024, the individual jurisdiction with cash taxes paid that equaled or exceeded 50% of total income taxes paid was Florida. Transferable energy credit purchases are included as part of Federal income taxes paid during the current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all entities within the Company's legal structure are treated as U.S. Corporations.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no uncertain tax positions or unrecognized tax benefits that, if recognized, would impact the effective income tax rates for the year ended December 31, 2025 and 2024. The tax returns filed for the years ending December 31, 2024 and 2023 remain subject to examination by the Company’s major taxing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have any federal net operating loss carryforwards available as of December 31, 2025. The Company has zero state net operating loss carryforwards available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and/or its subsidiaries file income tax returns in the U.S. federal jurisdiction and various state jurisdictions. The Company is not currently under audit by the IRS or state jurisdictions for open tax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of 2025, the Company purchased $67.9 million of transferable Section 45x advanced manufacturing production tax credits for $65.4 million to reduce our federal tax liability. All tax credits other than approximately $0.6 have been applied to prior year tax returns.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4, 2025, the United States enacted the One Big Beautiful Bill Act (“OBBBA”), which, among other provisions, permanently restores 100% bonus depreciation and modifies the limitation on business-interest expense under §163(j) to be based on taxable income before interest, amortization, and depreciation. Based on preliminary analysis, management expects OBBBA to reduce U.S. cash income-tax payments. There is not expected to be any impact on the effective tax rate. The Company is continuing to evaluate the Act’s impacts, including potential effects on deferred-tax balances, and will refine these estimates as additional guidance becomes available.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Reinsurance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premiums and losses are ceded to other insurance companies under various excess of loss reinsurance agreements. The ceded reinsurance agreements are intended to provide the Company with the ability to maintain its exposure to losses within its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reinsurance agreements do not relieve the Company from its primary obligation to policyholders, as it remains liable to its policyholders to the extent that any reinsurer does not meet its obligations for reinsurance ceded to it under reinsurance contracts. Therefore, the Company is subject to credit risk with respect to the obligations of its reinsurers, and any failure on the part of these reinsurers could have a material adverse effect on the Company’s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June 1, 2025, the Company entered into a per risk excess of loss treaty for its personal residential property business retaining $0.7 million on each property risk and ceding the next $4.3 million of loss. The per risk excess of loss treaties cover 100% of all losses except those related to named storms. These treaties are effective until May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June 1, 2025, the Company entered into a facultative excess of loss reinsurance contract for its personal residential property business which provides $7 million of coverage in excess of $5 million for each loss, each risk. The reinsurer’s total liability is capped at $14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October 29, 2025, the Company entered into a per risk excess of loss treaty for its commercial residential property business retaining $1 million on each risk and ceding the next $9 million of loss. The per risk excess of loss treaties cover 100% of all losses except those related to named storms. These treaties are effective until November 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November 1, 2025, the Company entered into a facultative excess of loss reinsurance contract for its commercial residential property business which provides $65 million of coverage in excess of $10 million for each loss, each risk. Like the per risk treaty, the facultative contract does not cover losses related to named storms.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minimize the Company’s exposure to losses from catastrophes, primarily hurricanes, the Company has entered into a catastrophe excess of loss agreement, as well as the mandatory participation in the Florida Hurricane Catastrophe Fund (“FHCF”).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catastrophe excess of loss agreement has a corridor through it, whereby the FHCF picks up 90% of losses and the catastrophe layers pick up the remaining 10%. The mandatory FHCF layer is estimated to be 90% of $1,047.9 million, excess of $557.2 million. Premium for this coverage is estimated to be $71,345. The ultimate net loss for each of the above layers will include any recoveries from the FHCF or so deemed. The FHCF provides catastrophe coverage for named hurricanes up to a maximum limit of 90% of the amount of ultimate losses in the layer, as determined by a premium formula. The Company’s maximum projected payout from the FHCF is estimated to be $943.1 million, with a retention of $557.2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June 1, 2024, the Company entered into a per risk excess of loss treaty retaining $0.7 million on each property risk and ceding the next $4.3 million of loss. The per risk excess of loss treaties cover 100% of all losses except those related to named storms. These treaties are effective until May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June 1, 2024, the Company entered into a facultative excess of loss reinsurance contract which provides $7 million of coverage in excess of $5 million for each loss, each risk. The reinsurer’s total liability is capped at $14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catastrophic excess of loss agreement has a corridor through it, whereby the FHCF picks up 90% of losses and the catastrophe layers pick up the remaining 10%. The mandatory FHCF layer is 90% of $791.7 million, excess of $379.3 million. Premium for this coverage is $60,077. The ultimate net loss for each of the above layers will include any recoveries from the FHCF or so deemed. The FHCF provides catastrophe coverage for named hurricanes up to a maximum limit of 90% of the amount of ultimate losses in the layer, as determined by a premium formula. The Company’s maximum projected payout from the FHCF is $712.5 million, with a retention of $379.3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 October 29, 2024, the Company entered into a per risk excess of loss treaty for its commercial residential property business retaining $1 million on each risk and ceding the next $9 million of loss. The per risk excess of loss treaties cover 100% of all losses except those related to named storms.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 October 29, 2024, the Company entered into a facultative excess of loss reinsurance contract for its commercial residential property business which provides $50 million of coverage in excess of $10 million for each loss, each risk. Like the per risk treaty, the facultative contract does not cover losses related to named storms.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effects of reinsurance on premiums written and earned are as follows: </w:t>
      </w:r>
    </w:p>
    <w:p>
      <w:pPr>
        <w:pStyle w:val="TextBody"/>
        <w:bidi w:val="0"/>
        <w:jc w:val="left"/>
        <w:rPr/>
      </w:pPr>
      <w:r>
        <w:rPr/>
        <w:t> </w:t>
      </w:r>
    </w:p>
    <w:tbl>
      <w:tblPr>
        <w:tblW w:w="7567" w:type="dxa"/>
        <w:jc w:val="left"/>
        <w:tblInd w:w="0" w:type="dxa"/>
        <w:tblLayout w:type="fixed"/>
        <w:tblCellMar>
          <w:top w:w="28" w:type="dxa"/>
          <w:left w:w="28" w:type="dxa"/>
          <w:bottom w:w="28" w:type="dxa"/>
          <w:right w:w="28" w:type="dxa"/>
        </w:tblCellMar>
      </w:tblPr>
      <w:tblGrid>
        <w:gridCol w:w="1506"/>
        <w:gridCol w:w="146"/>
        <w:gridCol w:w="211"/>
        <w:gridCol w:w="931"/>
        <w:gridCol w:w="166"/>
        <w:gridCol w:w="146"/>
        <w:gridCol w:w="211"/>
        <w:gridCol w:w="931"/>
        <w:gridCol w:w="166"/>
        <w:gridCol w:w="146"/>
        <w:gridCol w:w="211"/>
        <w:gridCol w:w="931"/>
        <w:gridCol w:w="166"/>
        <w:gridCol w:w="146"/>
        <w:gridCol w:w="211"/>
        <w:gridCol w:w="931"/>
        <w:gridCol w:w="411"/>
      </w:tblGrid>
      <w:tr>
        <w:trPr/>
        <w:tc>
          <w:tcPr>
            <w:tcW w:w="1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Written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Written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1,097,300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1,332,336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1,079,528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965,397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792,439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SIH ceded losses and loss adjustment expenses of $50 and $318,889 in 2025 and 2024, respectively. Based on all available information considered in the rating based method described in Note 1 — “Summary of Significant Accounting Policies,” the Company recognized a credit loss expense of $0 and $0 for the year ended December 31, 2025 and 2024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25, 2024, the Company entered into an amended and restated credit agreement ("the Credit Agreement") with Regions Bank for (i) $10.0 million revolving credit facility, which was amended to a $45 million revolving credit facility on March 20, 2025, (ii) a term loan in an aggregate principal amount of $40.0 million and (iii) one or more delayed draw term loans in an aggregate principal amount not to exceed $125.0 million (together, the “Credit Facility”). Under the terms of the Credit Facility, borrowings bear interest at an annual rate equal to the three month Secured Overnight Financing Rate (“SOFR”) based on the consolidated leverage ratio as defined in the agreement. The interest payment is due quarterly in arrears on the last business day of each quarter. The Credit Facility contains affirmative and negative covenants as well as customary events of default. In addition, the Company must comply with certain financial and non-financial covenants and agree to pay a fee equal to the product of the unused line fee rate and the average of the daily unused available credit balances of the revolving credit facility. The unused line fee rate is 0.5%. The Credit Facility matures on June 25,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the Company had no borrowings outstanding under the revolving credit facility. At December 31, 2025, the Company was in compliance with all required covenants and had available borrowing capacity of $45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the Company had no borrowings outstanding under the delayed draw term loan credit facility. At December 31, 2025, the Company was in compliance with all required covenants and had available borrowing capacity of $125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Long-Term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31, 2022, in connection with the acquisition of SJIG Target LLC, the Company issued $10 million of 5-year promissory notes at 0% interest to the former owners of SJIG Target LLC.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3, 2023, the Company entered into a $30 million 3-year commercial loan agreement with a commercial bank. The loan is fully collateralized by assets of the Company. The Company may make voluntary prepayments of principal at any time, in whole or in part. Under the terms of the Credit Agreement, borrowings bear interest at an annual rate equal to the one or three month Secured Overnight Financing Rate (“SOFR”) plus a margin based on the debt-to-capital ratio. The interest payment is due quarterly in arrears on last business day of each quarter. The Credit Agreement contains affirmative and negative covenants as well as customary events of default. In addition, the Company must comply with certain financial and non-financial covenants. The Company repaid this loan in full in June 2024 when the Company issued new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3, 2023, in connection with the issuance of the credit facility, the Company incurred loan costs of $847. The Company amortizes these costs over the life of the facility using the straight-line method. Amortization of deferred loan costs is included in Interest expense in the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2023, to mitigate cash flow effects of the $30 million commercial loan discussed above, the Company entered into an interest rate swap contract (the “Swap Contract”) with Regions Bank, as swap counterparty for an original notional amount of $30 million in loan principal that covers the period from June 30, 2023 through March 31, 2026. Under the Swap Transaction, the Company pays interest at a fixed rate of 4.46% and the swap counterparty pays interest on the notional principal portion for any portion of the floating interest rate that is greater than those rates. As of December 31, 2025 and 2024, the Swap Contract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had a fair value of ($62) and ($117), respectively, and is recorded as a liability in the accompanying Consolidated Balance Sheets. The mark-to-market loss of $55 and $179, respectively is recorded in the accompanying Consolidated Statements of Operations for the year ended December 31, 2025 and 2024, as a component of Interest expense in the Consolidated Statements of Operations. For the years ended December 31, 2025 and 2024, interest expense was $3,631 and $3,754, including $497 and $1,042 of amortization of deferred loan costs,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25, 2024, the Company entered into a $40 million 5-year commercial loan agreement with a commercial bank. The loan is fully collateralized by assets of the Company. The Company may make voluntary prepayments of principal at any time, in whole or in part. Under the terms of the Credit Agreement, borrowings bear interest at an annual rate equal to the one or three month Secured Overnight Financing Rate (“SOFR”) plus a margin based on the debt-to-capital ratio. The interest payment is due quarterly in arrears on the last business day of each quarter. The Credit Agreement contains affirmative and negative covenants as well as customary events of default. In addition, the Company must comply with certain financial and non-financial covenants. At December 31, 2025, the Company was in compliance with all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25, 2024, in connection with the issuance of the credit facility, the Company incurred loan costs and debt discount of $3,692. The Company amortizes these costs over the life of the facility using the interest method. Amortization of deferred loan costs is included in Interest expense in the Consolidated Statements of Operations. In connection with the issuance of the credit facility, the Company refinanced the credit facility that was issued on May 3, 2023, including the remaining term loan balance of $27,750 that was repaid in full. The Company recognized an extinguishment loss within interest expense on the statement of operations of the remaining deferred loan costs associated with the refinanced credit facility totaling $589 in June 2024.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2"/>
        <w:gridCol w:w="146"/>
        <w:gridCol w:w="956"/>
        <w:gridCol w:w="146"/>
        <w:gridCol w:w="249"/>
        <w:gridCol w:w="798"/>
        <w:gridCol w:w="271"/>
        <w:gridCol w:w="146"/>
        <w:gridCol w:w="211"/>
        <w:gridCol w:w="676"/>
        <w:gridCol w:w="146"/>
        <w:gridCol w:w="146"/>
        <w:gridCol w:w="259"/>
        <w:gridCol w:w="834"/>
        <w:gridCol w:w="166"/>
        <w:gridCol w:w="146"/>
        <w:gridCol w:w="259"/>
        <w:gridCol w:w="834"/>
        <w:gridCol w:w="214"/>
      </w:tblGrid>
      <w:tr>
        <w:trPr/>
        <w:tc>
          <w:tcPr>
            <w:tcW w:w="3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 at</w:t>
              <w:b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 at</w:t>
              <w:br/>
              <w:t>December 31,</w:t>
              <w:b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Loan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Variable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loan costs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39,190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summarizes future maturities of long-term debt principal as December 31, 2025: </w:t>
      </w:r>
    </w:p>
    <w:p>
      <w:pPr>
        <w:pStyle w:val="TextBody"/>
        <w:bidi w:val="0"/>
        <w:jc w:val="left"/>
        <w:rPr/>
      </w:pPr>
      <w:r>
        <w:rPr/>
        <w:t> </w:t>
      </w:r>
    </w:p>
    <w:tbl>
      <w:tblPr>
        <w:tblW w:w="4271" w:type="dxa"/>
        <w:jc w:val="left"/>
        <w:tblInd w:w="0" w:type="dxa"/>
        <w:tblLayout w:type="fixed"/>
        <w:tblCellMar>
          <w:top w:w="28" w:type="dxa"/>
          <w:left w:w="28" w:type="dxa"/>
          <w:bottom w:w="28" w:type="dxa"/>
          <w:right w:w="28" w:type="dxa"/>
        </w:tblCellMar>
      </w:tblPr>
      <w:tblGrid>
        <w:gridCol w:w="541"/>
        <w:gridCol w:w="146"/>
        <w:gridCol w:w="251"/>
        <w:gridCol w:w="680"/>
        <w:gridCol w:w="146"/>
        <w:gridCol w:w="146"/>
        <w:gridCol w:w="235"/>
        <w:gridCol w:w="756"/>
        <w:gridCol w:w="146"/>
        <w:gridCol w:w="146"/>
        <w:gridCol w:w="211"/>
        <w:gridCol w:w="676"/>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Promissory</w:t>
              <w:b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Term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Affiliate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no transactions with affiliates in the years ended December 31, 2025 and 2024.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Property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summarized as follows: </w:t>
      </w:r>
    </w:p>
    <w:p>
      <w:pPr>
        <w:pStyle w:val="TextBody"/>
        <w:bidi w:val="0"/>
        <w:jc w:val="left"/>
        <w:rPr/>
      </w:pPr>
      <w:r>
        <w:rPr/>
        <w:t> </w:t>
      </w:r>
    </w:p>
    <w:tbl>
      <w:tblPr>
        <w:tblW w:w="6454" w:type="dxa"/>
        <w:jc w:val="left"/>
        <w:tblInd w:w="0" w:type="dxa"/>
        <w:tblLayout w:type="fixed"/>
        <w:tblCellMar>
          <w:top w:w="28" w:type="dxa"/>
          <w:left w:w="28" w:type="dxa"/>
          <w:bottom w:w="28" w:type="dxa"/>
          <w:right w:w="28" w:type="dxa"/>
        </w:tblCellMar>
      </w:tblPr>
      <w:tblGrid>
        <w:gridCol w:w="4051"/>
        <w:gridCol w:w="146"/>
        <w:gridCol w:w="211"/>
        <w:gridCol w:w="676"/>
        <w:gridCol w:w="146"/>
        <w:gridCol w:w="146"/>
        <w:gridCol w:w="211"/>
        <w:gridCol w:w="676"/>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EDP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was $4,850 and $2,447 for the year ended December 31, 2025, and 2024, respectively. These assets relate to the development and configuration of an enterprise data warehouse placed in service in 2025, the Company’s policy and claims administration platforms placed in service in August 2024 and June 2024, respectively, and a policy administration platform placed in service in September 2023.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operating leases primarily for real estate. The Company will determine whether an arrangement is a lease at inception of the agreement. The operating leases have terms of one to eight years, and often include one or more options to renew. These renewal terms can extend the lease term from two to ten years and are included in the lease term when it is reasonably certain that the Company will exercise the option. The Company considers these options in determining the lease term used in establishing our right-of-use assets and lease obligations. Our lease agreements do not contain any material residual value guarantees or material restrictive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the rate implicit in each operating lease is not readily determinable, the Company uses its incremental borrowing rate to determine present value of the lease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lease costs were as follows for the respective years: </w:t>
      </w:r>
    </w:p>
    <w:p>
      <w:pPr>
        <w:pStyle w:val="TextBody"/>
        <w:bidi w:val="0"/>
        <w:jc w:val="left"/>
        <w:rPr/>
      </w:pPr>
      <w:r>
        <w:rPr/>
        <w:t> </w:t>
      </w:r>
    </w:p>
    <w:tbl>
      <w:tblPr>
        <w:tblW w:w="6139" w:type="dxa"/>
        <w:jc w:val="left"/>
        <w:tblInd w:w="0" w:type="dxa"/>
        <w:tblLayout w:type="fixed"/>
        <w:tblCellMar>
          <w:top w:w="28" w:type="dxa"/>
          <w:left w:w="28" w:type="dxa"/>
          <w:bottom w:w="28" w:type="dxa"/>
          <w:right w:w="28" w:type="dxa"/>
        </w:tblCellMar>
      </w:tblPr>
      <w:tblGrid>
        <w:gridCol w:w="3946"/>
        <w:gridCol w:w="146"/>
        <w:gridCol w:w="211"/>
        <w:gridCol w:w="571"/>
        <w:gridCol w:w="146"/>
        <w:gridCol w:w="146"/>
        <w:gridCol w:w="211"/>
        <w:gridCol w:w="57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 include in General and</w:t>
              <w:br/>
              <w:t>   Administrative expenses on the Consolidated</w:t>
              <w:br/>
              <w:t>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Right-of-use asset and Lease liability was as follows: </w:t>
      </w:r>
    </w:p>
    <w:p>
      <w:pPr>
        <w:pStyle w:val="TextBody"/>
        <w:bidi w:val="0"/>
        <w:jc w:val="left"/>
        <w:rPr/>
      </w:pPr>
      <w:r>
        <w:rPr/>
        <w:t> </w:t>
      </w:r>
    </w:p>
    <w:tbl>
      <w:tblPr>
        <w:tblW w:w="3609" w:type="dxa"/>
        <w:jc w:val="left"/>
        <w:tblInd w:w="0" w:type="dxa"/>
        <w:tblLayout w:type="fixed"/>
        <w:tblCellMar>
          <w:top w:w="28" w:type="dxa"/>
          <w:left w:w="28" w:type="dxa"/>
          <w:bottom w:w="28" w:type="dxa"/>
          <w:right w:w="28" w:type="dxa"/>
        </w:tblCellMar>
      </w:tblPr>
      <w:tblGrid>
        <w:gridCol w:w="1546"/>
        <w:gridCol w:w="146"/>
        <w:gridCol w:w="146"/>
        <w:gridCol w:w="571"/>
        <w:gridCol w:w="146"/>
        <w:gridCol w:w="146"/>
        <w:gridCol w:w="146"/>
        <w:gridCol w:w="571"/>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Supplemental cash flow information related to our operating leases as follows: </w:t>
      </w:r>
    </w:p>
    <w:p>
      <w:pPr>
        <w:pStyle w:val="TextBody"/>
        <w:bidi w:val="0"/>
        <w:jc w:val="left"/>
        <w:rPr/>
      </w:pPr>
      <w:r>
        <w:rPr/>
        <w:t> </w:t>
      </w:r>
    </w:p>
    <w:tbl>
      <w:tblPr>
        <w:tblW w:w="3479" w:type="dxa"/>
        <w:jc w:val="left"/>
        <w:tblInd w:w="0" w:type="dxa"/>
        <w:tblLayout w:type="fixed"/>
        <w:tblCellMar>
          <w:top w:w="28" w:type="dxa"/>
          <w:left w:w="28" w:type="dxa"/>
          <w:bottom w:w="28" w:type="dxa"/>
          <w:right w:w="28" w:type="dxa"/>
        </w:tblCellMar>
      </w:tblPr>
      <w:tblGrid>
        <w:gridCol w:w="1546"/>
        <w:gridCol w:w="146"/>
        <w:gridCol w:w="146"/>
        <w:gridCol w:w="421"/>
        <w:gridCol w:w="166"/>
        <w:gridCol w:w="146"/>
        <w:gridCol w:w="146"/>
        <w:gridCol w:w="571"/>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Weighted-average lease term and discount rate for our operating lease was as follows: </w:t>
      </w:r>
    </w:p>
    <w:p>
      <w:pPr>
        <w:pStyle w:val="TextBody"/>
        <w:bidi w:val="0"/>
        <w:jc w:val="left"/>
        <w:rPr/>
      </w:pPr>
      <w:r>
        <w:rPr/>
        <w:t> </w:t>
      </w:r>
    </w:p>
    <w:tbl>
      <w:tblPr>
        <w:tblW w:w="7083" w:type="dxa"/>
        <w:jc w:val="left"/>
        <w:tblInd w:w="0" w:type="dxa"/>
        <w:tblLayout w:type="fixed"/>
        <w:tblCellMar>
          <w:top w:w="28" w:type="dxa"/>
          <w:left w:w="28" w:type="dxa"/>
          <w:bottom w:w="28" w:type="dxa"/>
          <w:right w:w="28" w:type="dxa"/>
        </w:tblCellMar>
      </w:tblPr>
      <w:tblGrid>
        <w:gridCol w:w="4636"/>
        <w:gridCol w:w="179"/>
        <w:gridCol w:w="179"/>
        <w:gridCol w:w="572"/>
        <w:gridCol w:w="271"/>
        <w:gridCol w:w="179"/>
        <w:gridCol w:w="179"/>
        <w:gridCol w:w="572"/>
        <w:gridCol w:w="316"/>
      </w:tblGrid>
      <w:tr>
        <w:trPr/>
        <w:tc>
          <w:tcPr>
            <w:tcW w:w="463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Operating lease</w:t>
            </w:r>
          </w:p>
        </w:tc>
        <w:tc>
          <w:tcPr>
            <w:tcW w:w="930"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Operating lease</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lease payments for our operating lease were as follows as of December 31, 2024: </w:t>
      </w:r>
    </w:p>
    <w:p>
      <w:pPr>
        <w:pStyle w:val="TextBody"/>
        <w:bidi w:val="0"/>
        <w:jc w:val="left"/>
        <w:rPr/>
      </w:pPr>
      <w:r>
        <w:rPr/>
        <w:t> </w:t>
      </w:r>
    </w:p>
    <w:tbl>
      <w:tblPr>
        <w:tblW w:w="3880" w:type="dxa"/>
        <w:jc w:val="left"/>
        <w:tblInd w:w="0" w:type="dxa"/>
        <w:tblLayout w:type="fixed"/>
        <w:tblCellMar>
          <w:top w:w="28" w:type="dxa"/>
          <w:left w:w="28" w:type="dxa"/>
          <w:bottom w:w="28" w:type="dxa"/>
          <w:right w:w="28" w:type="dxa"/>
        </w:tblCellMar>
      </w:tblPr>
      <w:tblGrid>
        <w:gridCol w:w="2656"/>
        <w:gridCol w:w="146"/>
        <w:gridCol w:w="211"/>
        <w:gridCol w:w="676"/>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Present value of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Regulatory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 restrictions on the payment of dividends to its shareholders except those restrictions imposed by the General Corporation Law of the State of Delaware and those restrictions imposed by insurance statutes and regulations applicable to the Company’s insurance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and Slide Specialty can only pay dividends to SIH out of its available and accumulated surplus funds, which are derived from realized net operating profits on its business and net unrealized capital gains. Dividend payments without prior written approval of the FLOIR shall not exceed the greater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lesser of ten percent of surplus or net income, not including realized capital gains, plus a two-year carryforward;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 percent of surplus, with dividends payable constrained to unassigned funds, minus 25% of unrealized capital gains;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lesser of 10% of surplus or net investment income plus a three-year carryforward with dividends payable constrained to unassigned funds minus 25% of unrealized capital gains; 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lieu of the above computations, the maximum dividend allowed by the SIC may be up to the greater of 10% of surplus derived from realized net operating profits and realized capital gains or SIC's entire net operating profits and net realized capital gains from the immediately preceding calendar year, provided that SIC will have at least to 115% of minimum required surplus after any such dividend.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dividends were paid by SIC or Slide Specialty in 2025 and 2024. Florida Statute Section 624.408 requires SIC to maintain a minimum level of surplus of not less than the greater of 10% of the Company’s total liabilities, or $15,000. Based on this requirement, SIC was required to maintain capital and surplus of $113,922 and $70,837 as of December 31, 2025 and 2024, respectively. As of December 31, 2025 and 2024, SIC’s statutory-basis surplus totaled $417,940 and $207,967, meeting the minimum surplus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and Slide Specialty are required to comply with the NAIC risk-based capital (“RBC”) requirements. RBC is a method of measuring the amount of capital appropriate for an insurance company to support its overall business operations in light of its size and risk profile. At December 31, 2025 and 2024 SIC and Slide Specialty’s total adjusted capital exceeded the RBC company-action level.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 GAAP differs in certain respects from the accounting practices prescribed or permitted by insurance regulatory authorities (statutory-basis). These entities’ statutory-basis financial statements are presented on the basis of accounting practices prescribed or permitted by the FLOIR. The FLOIR has adopted the National Association of Insurance Commissioners (“NAIC”) Accounting Practices and Procedures Manual as the basis of its statutory accounting practices. Statutory-basis surplus differs from shareholders’ equity reported in accordance with U.S. GAAP primarily because policy acquisition costs are expensed when incurred, and different timing of recognizing the brokerage income for reinsurance recoverables. In addition, the recognition of deferred tax assets is based on different recoverability assumptions and material differences may also arise from the differing treatment of non-admitted assets and unrealized gains and losses from investments.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lawsuits against the Company have arisen in the course of the Company’s business. Management does not consider contingent liabilities arising from litigation and other matters material in relation to the financial position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Information About Financial Instruments with Off-Balance Sheet Risk and Financial Instruments with Concentrations Of Credit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exposed to credit-related losses in the event that a bond issuer may default on its obligation. The Company mitigates its exposure to these credit-related losses by maintaining bonds with high credit ratings.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also is exposed to credit-related losses in the event that a reinsurer is unable to honor its liabilities to the Company. The Company mitigates its exposure to losses from insolvent reinsurers by continuously monitoring the credit ratings of all of the Company’s reinsurers.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generally exposed to credit risk of cash deposits in excess of federally insured limits of $250. The Company mitigates its exposure to losses from these cash deposits by monitoring the financial stability of the financial institutions involved.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Retirement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full-time employees are eligible to participate in the Company’s 401(k) plan. Management of the Company can elect to make discretionary contributions. The Company made discretionary contributions for the benefit of the Company’s employees of $1,129 and $653 for the years ended December 31, 2025, and 2024,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Guaranty Fund and Other Assessments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SIC is subject to guaranty fund and other assessments in both Florida and in South Carolina, states in which the SIC underwrites policies. Guaranty fund assessments should be accrued when (i) an assessment has been imposed or information available prior to issuance of the statutory-basis financial statements indicates that it is probable that an assessment will be imposed; (ii) the event obligating an entity to pay an imposed or probable assessment has occurred on or before the date of the consolidated financial statements; and (iii) the amount of the assessment can be reasonably estimated at the time of the event triggering the accrual.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subject to assessments by guaranty funds in the states in which it conducts business, a residual market pool, and a state catastrophe reinsurance pool. The activities of these funds and pools include collecting funds from solvent insurance companies to cover losses resulting from the insolvency or rehabilitation of other insurance companies, or deficits generated by Citizens Property Insurance Corporation, and the FHCF. SIC is allowed to recover these assessments through premiums collected from policyholders. As of December 31, 2025, and 2024, SIC had payables relating to these assessments totaling $3,106 and $2,148, respectively. The payable is included within other liabilities on the balance sheet.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Shareholders’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June 18, 2025, the Company was authorized to issue one class of common stock (par value of $0.01 per share) to its shareholders. The Company had 40.0 million shares of common stock authorized at December 31, 2024, of which 10.2 million shares were issued and outstanding at December 31, 2024, respectively, pre stock split.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amended and restated its articles of incorporation on June 18, 2025, authorizing capital stock of 1.5 billion shares of common stock, par value $0.01 per share, and 150.0 million shares of preferred stock, par value $0.01 per share. As of December 31, 2025, there were 123.9 million shares of common stock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June 18, 2025, the Company was authorized to issue one class of preferred stock (par value of $0.01 per share) to its shareholders. The Company had 20.0 million shares of preferred stock authorized as of December 31, 2024, of which 9.3 million shares were issued and outstanding at December 31, 2024 pre stock split. All preferred shares had a liquidation preference equal to $13.64 per share and were convertible into shares of common stock at the election of the holder on a one-for-one basis at a price of $13.64 (subject to adjustment if the Company issued shares of common stock at a price less than $13.64). At December 31, 2024, the conversion price remained $13.64 per share. The preferred stock were automatically converted to common stock of the Company in connection with the Company's IPO.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issued 120,334 preferred stock warrants with a strike price of $0.01 which were all exercised in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18, 2025, the company completed its IPO in which it issued and sold 24.0 million shares of common stock, of which 16.7 million shares were sold by the Company and 7.3 million shares were sold by certain selling stockholders, at a par value of $0.01, at a public offering price of $17.00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company effectuated an approximately 5.5-for-one stock split of its common stock, preferred stock, vested and unvested stock options and vested and unvested restricted share units. Subsequent to the stock split, and prior to the completion of the IPO, all shares of preferred stock, 9.3 million shares, were converted into common stock at a price of $2.48.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distributions or dividends were declared or paid during the period ended December 31, 2025 or 2024.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31, 2025 and 2024, the Company has two share-based compensation plans and one share-based compensation plan,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2021 Equity Compensation Plan (“The Stock Plan”): The compensation cost that has been charged against income for those plans was $12,070 and $2,282 for 2025 and 2024, respectively. The total income tax benefit recognized in the income statement for share-based compensation arrangements was $2,976 and $680 for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 Plan permitted the awarding of common stock share options to its employees and strategic advisors for up to 16,985,293 shares. Option awards were generally granted with an exercise price equal to the market price of the Company’s stock at the date of grant; those option awards generally vest based on three- to five-year vesting schedules. The fair value of each option award is estimated on the grant date using a Black-Scholes model. The compensation expense for the shares is recognized over the requisite service period for the employee. There were no options granted during the year ended December 31,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IPO, the Company issued the 2025 Omnibus Incentive Plan (the “2025 Plan”), effective as of June 18, 2025. The principal purpose of the 2025 Plan is to attract, retain and motivate selected employees, consultants and directors through the grant of equity-based and cash-based incentive awards to employees, consultants, service providers and non-employee directors of the Company and its affiliates. The 2025 Plan permits for the awarding of common stock share options and restricted stock units for up to 12.0 million shares. There have been 119.3 restricted shares issued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option activity under the Stock Plan as of December 31, 2025 and 2024, respectively, and changes during the year then ended is presented below: </w:t>
      </w:r>
    </w:p>
    <w:p>
      <w:pPr>
        <w:pStyle w:val="TextBody"/>
        <w:bidi w:val="0"/>
        <w:jc w:val="left"/>
        <w:rPr/>
      </w:pPr>
      <w:r>
        <w:rPr/>
        <w:t> </w:t>
      </w:r>
    </w:p>
    <w:tbl>
      <w:tblPr>
        <w:tblW w:w="9228" w:type="dxa"/>
        <w:jc w:val="left"/>
        <w:tblInd w:w="0" w:type="dxa"/>
        <w:tblLayout w:type="fixed"/>
        <w:tblCellMar>
          <w:top w:w="28" w:type="dxa"/>
          <w:left w:w="28" w:type="dxa"/>
          <w:bottom w:w="28" w:type="dxa"/>
          <w:right w:w="28" w:type="dxa"/>
        </w:tblCellMar>
      </w:tblPr>
      <w:tblGrid>
        <w:gridCol w:w="4066"/>
        <w:gridCol w:w="146"/>
        <w:gridCol w:w="157"/>
        <w:gridCol w:w="729"/>
        <w:gridCol w:w="146"/>
        <w:gridCol w:w="146"/>
        <w:gridCol w:w="349"/>
        <w:gridCol w:w="776"/>
        <w:gridCol w:w="146"/>
        <w:gridCol w:w="146"/>
        <w:gridCol w:w="225"/>
        <w:gridCol w:w="721"/>
        <w:gridCol w:w="146"/>
        <w:gridCol w:w="146"/>
        <w:gridCol w:w="211"/>
        <w:gridCol w:w="78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9228" w:type="dxa"/>
        <w:jc w:val="left"/>
        <w:tblInd w:w="0" w:type="dxa"/>
        <w:tblLayout w:type="fixed"/>
        <w:tblCellMar>
          <w:top w:w="28" w:type="dxa"/>
          <w:left w:w="28" w:type="dxa"/>
          <w:bottom w:w="28" w:type="dxa"/>
          <w:right w:w="28" w:type="dxa"/>
        </w:tblCellMar>
      </w:tblPr>
      <w:tblGrid>
        <w:gridCol w:w="4066"/>
        <w:gridCol w:w="146"/>
        <w:gridCol w:w="157"/>
        <w:gridCol w:w="729"/>
        <w:gridCol w:w="146"/>
        <w:gridCol w:w="146"/>
        <w:gridCol w:w="349"/>
        <w:gridCol w:w="776"/>
        <w:gridCol w:w="146"/>
        <w:gridCol w:w="146"/>
        <w:gridCol w:w="225"/>
        <w:gridCol w:w="721"/>
        <w:gridCol w:w="146"/>
        <w:gridCol w:w="146"/>
        <w:gridCol w:w="211"/>
        <w:gridCol w:w="78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nonvested shares as of December 31, 2025 and 2024, and changes during the year ended December 31, 2025, is presented below: </w:t>
      </w:r>
    </w:p>
    <w:p>
      <w:pPr>
        <w:pStyle w:val="TextBody"/>
        <w:bidi w:val="0"/>
        <w:jc w:val="left"/>
        <w:rPr/>
      </w:pPr>
      <w:r>
        <w:rPr/>
        <w:t> </w:t>
      </w:r>
    </w:p>
    <w:tbl>
      <w:tblPr>
        <w:tblW w:w="5282" w:type="dxa"/>
        <w:jc w:val="left"/>
        <w:tblInd w:w="0" w:type="dxa"/>
        <w:tblLayout w:type="fixed"/>
        <w:tblCellMar>
          <w:top w:w="28" w:type="dxa"/>
          <w:left w:w="28" w:type="dxa"/>
          <w:bottom w:w="28" w:type="dxa"/>
          <w:right w:w="28" w:type="dxa"/>
        </w:tblCellMar>
      </w:tblPr>
      <w:tblGrid>
        <w:gridCol w:w="2806"/>
        <w:gridCol w:w="146"/>
        <w:gridCol w:w="157"/>
        <w:gridCol w:w="729"/>
        <w:gridCol w:w="146"/>
        <w:gridCol w:w="146"/>
        <w:gridCol w:w="229"/>
        <w:gridCol w:w="732"/>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Nonvested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and 2024, there was $454 and $1,956 of total unrecognized compensation cost related to nonvested share-based compensation arrangements granted under the Stock Plan, respectively. The total value of shares vested during the year ended December 31, 2025 and 2024 was $1,727 and $4,465,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Included in the tables above are 1.1 million shares of performance-based option shares issued by the Company during 2023. These shares vest based upon performance conditions including the date the board approves that the Company has achieved specific revenue and EBITDA targets. During the years ended 2025 and 2024, 6.1 million shares and 5.2 million shares vested or were expected to vest based on the achievement of the specified performance conditions, respectively. The total fair value of the performance shares vested or expected to vest during 2025 and 2024 were $4,255 and $3,673, respectively. As of December 31, 2025 and 2024, 0.6 million and 1.4 million of the performance-based options were unvested and the performance conditions had not yet been met, with a total value of $485 and $1,067, respectively. The Company has recorded compensation expense, included in General and administrative expense in the Consolidated Statements of Operations and Additional paid-in capital in the Consolidated Balance Sheets, several of the revenue and EBITDA performance conditions as vested for the year ended December 31, 2025 and 2024. The Company believes that it is probable these performance conditions will be met based upon Company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has granted and may grant restricted stock awards to certain executive officers, other employees and nonemployee directors in connection with their service to the Company. The terms of the Company’s outstanding restricted stock grant include service conditions. The determination of fair value with respect to the awards containing only service-based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conditions is based on the option pricing method of determining the fair value of the Company’s stock on the grant date. Information with respect to the activity of unvested restricted stock awards during the years ended December 31, 2025, and 2024 is as follows: </w:t>
      </w:r>
    </w:p>
    <w:p>
      <w:pPr>
        <w:pStyle w:val="TextBody"/>
        <w:bidi w:val="0"/>
        <w:jc w:val="left"/>
        <w:rPr/>
      </w:pPr>
      <w:r>
        <w:rPr/>
        <w:t> </w:t>
      </w:r>
    </w:p>
    <w:tbl>
      <w:tblPr>
        <w:tblW w:w="5282" w:type="dxa"/>
        <w:jc w:val="left"/>
        <w:tblInd w:w="0" w:type="dxa"/>
        <w:tblLayout w:type="fixed"/>
        <w:tblCellMar>
          <w:top w:w="28" w:type="dxa"/>
          <w:left w:w="28" w:type="dxa"/>
          <w:bottom w:w="28" w:type="dxa"/>
          <w:right w:w="28" w:type="dxa"/>
        </w:tblCellMar>
      </w:tblPr>
      <w:tblGrid>
        <w:gridCol w:w="2806"/>
        <w:gridCol w:w="146"/>
        <w:gridCol w:w="180"/>
        <w:gridCol w:w="706"/>
        <w:gridCol w:w="146"/>
        <w:gridCol w:w="146"/>
        <w:gridCol w:w="195"/>
        <w:gridCol w:w="766"/>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Nonvested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recognized compensation expense related to restricted stock, which is included in general and administrative personnel expenses, of $10,572 and $$431 for the years ended December 31, 2025 and 2024, respectively. At December 31, 2025 and 2024, there was approximately $11,653 and $22,204, respectively, of total unrecognized compensation expense related to nonvested restricted stock arrangements. The Company expects to recognize the remaining compensation expense over a weighted-average period of 1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information about deferred tax benefits recognized and tax benefits realized related to Stock-Based compensation for the year ended December 31, 2025 and 2024. </w:t>
      </w:r>
    </w:p>
    <w:p>
      <w:pPr>
        <w:pStyle w:val="TextBody"/>
        <w:bidi w:val="0"/>
        <w:jc w:val="left"/>
        <w:rPr/>
      </w:pPr>
      <w:r>
        <w:rPr/>
        <w:t> </w:t>
      </w:r>
    </w:p>
    <w:tbl>
      <w:tblPr>
        <w:tblW w:w="5749"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benefits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benefits realized for vested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vested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Variable Interest Entities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 reinsurance captive arrangement with White Rock Insurance (SAC) Ltd. acting in respect of “Separate Account T104 – Slide,” a VIE in the normal course of business and consolidated the VIE since the Company is the primary beneficiary. See “Note 1 (Nature of Business and Significant Accounting Policies — Consolidation Policy)” for more information about the methodology and significant inputs used to consider whether to consolidate a VIE.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2023, SIC entered into reinsurance transactions whereby the VIE provided quota share and catastrophe reinsurance protection to the Insurance Entities for the period of June 1, 2023 through May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2024, SIC entered into reinsurance transactions whereby the VIE provided quota share and catastrophe reinsurance protection to the Insurance Entities for the period of June 1, 2024 through May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2025, SIC entered into reinsurance transactions whereby the VIE provided quota share, per risk and catastrophe reinsurance protection to the Insurance Entities for the period of June 1, 2025 through May 31,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Slide Insurance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center"/>
        <w:rPr>
          <w:rFonts w:ascii="Times New Roman" w:hAnsi="Times New Roman"/>
          <w:sz w:val="20"/>
        </w:rPr>
      </w:pPr>
      <w:r>
        <w:rPr>
          <w:rFonts w:ascii="Times New Roman" w:hAnsi="Times New Roman"/>
          <w:b/>
          <w:i/>
          <w:color w:val="000000"/>
          <w:sz w:val="20"/>
        </w:rPr>
        <w:t>(Dollar amounts in thousands, except share and per share amounts,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on a consolidated basis, the balance sheet classification and exposure of restricted cash held in a reinsurance trust account, which can be used only to settle specific reinsurance obligations of the VIE as of the dates presented. </w:t>
      </w:r>
    </w:p>
    <w:p>
      <w:pPr>
        <w:pStyle w:val="TextBody"/>
        <w:bidi w:val="0"/>
        <w:jc w:val="left"/>
        <w:rPr/>
      </w:pPr>
      <w:r>
        <w:rPr/>
        <w:t> </w:t>
      </w:r>
    </w:p>
    <w:tbl>
      <w:tblPr>
        <w:tblW w:w="5704" w:type="dxa"/>
        <w:jc w:val="left"/>
        <w:tblInd w:w="0" w:type="dxa"/>
        <w:tblLayout w:type="fixed"/>
        <w:tblCellMar>
          <w:top w:w="28" w:type="dxa"/>
          <w:left w:w="28" w:type="dxa"/>
          <w:bottom w:w="28" w:type="dxa"/>
          <w:right w:w="28" w:type="dxa"/>
        </w:tblCellMar>
      </w:tblPr>
      <w:tblGrid>
        <w:gridCol w:w="3091"/>
        <w:gridCol w:w="146"/>
        <w:gridCol w:w="211"/>
        <w:gridCol w:w="781"/>
        <w:gridCol w:w="146"/>
        <w:gridCol w:w="146"/>
        <w:gridCol w:w="211"/>
        <w:gridCol w:w="78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performed an evaluation of subsequent events through February 27, 2026, the date the consolidated financial statements were issued, and determined there were no recognized or unrecognized subsequent events, other than those listed below, that would require an adjustment or additional disclosure in the consolidated financial statements as of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20, 2025, the Company was approved to assume approximately 100,000 residential policies from Citizens through its depopulation program across the first half of 2026. The Company assumed approximately 24,000 policies in February 2026. The policies maintained their original expiration date and totaled approximately $58.7 million of assumed premiums written.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9_changes_in_and_disagreements"/>
      <w:bookmarkEnd w:id="22"/>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3" w:name="item_9a_controls_and_procedures"/>
      <w:bookmarkEnd w:id="23"/>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u w:val="single"/>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have evaluated the effectiveness of the design and operation of our disclosure controls and procedures, as defined in Rules 13a-15(e) and 15d-15(e) of the Securities Exchange Act of 1934, as amended (the “Exchange Act”), as of the end of the period covered by this report. Based on such evaluation, our Chief Executive Officer and Chief Financial Officer have concluded that our disclosures controls and procedures were effective as of December 31, 2025 at a reasonable assurance level. Such disclosure controls and procedures are designed to provide reasonable assurance that information required to be disclosed by us in the reports filed or submitted by us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CEO and CFO, to allow timely decisions regarding required disclosures.</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Limitations on Effectiveness of Controls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 not expect that our disclosure controls and procedures will prevent all errors and fraud. In designing and evaluating the disclosure controls and procedures, management recognized that any controls and procedures,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u w:val="single"/>
        </w:rPr>
        <w:t>Management’s Annual Report on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 </w:t>
      </w:r>
    </w:p>
    <w:p>
      <w:pPr>
        <w:pStyle w:val="TextBody"/>
        <w:bidi w:val="0"/>
        <w:spacing w:before="360" w:after="283"/>
        <w:jc w:val="left"/>
        <w:rPr>
          <w:rFonts w:ascii="Times New Roman" w:hAnsi="Times New Roman"/>
          <w:b/>
          <w:i/>
          <w:color w:val="000000"/>
          <w:sz w:val="20"/>
          <w:u w:val="single"/>
        </w:rPr>
      </w:pPr>
      <w:r>
        <w:rPr>
          <w:rFonts w:ascii="Times New Roman" w:hAnsi="Times New Roman"/>
          <w:b/>
          <w:i/>
          <w:color w:val="000000"/>
          <w:sz w:val="20"/>
          <w:u w:val="single"/>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identified during the quarter ended December 31, 2025 that have materially affected, or are reasonably likely to materially affect, our internal control over financial reporting (as defined in Rules 13a-15(f) and 15d-15(f) under the Exchange Act).</w:t>
      </w:r>
    </w:p>
    <w:p>
      <w:pPr>
        <w:pStyle w:val="TextBody"/>
        <w:bidi w:val="0"/>
        <w:spacing w:before="360" w:after="283"/>
        <w:jc w:val="left"/>
        <w:rPr>
          <w:rFonts w:ascii="Times New Roman" w:hAnsi="Times New Roman"/>
          <w:b/>
          <w:color w:val="000000"/>
          <w:sz w:val="20"/>
        </w:rPr>
      </w:pPr>
      <w:bookmarkStart w:id="24" w:name="item_9b_other_information"/>
      <w:bookmarkEnd w:id="24"/>
      <w:r>
        <w:rPr>
          <w:rFonts w:ascii="Times New Roman" w:hAnsi="Times New Roman"/>
          <w:b/>
          <w:color w:val="000000"/>
          <w:sz w:val="20"/>
        </w:rPr>
        <w:t>Item 9B. Other Information.</w:t>
      </w:r>
    </w:p>
    <w:p>
      <w:pPr>
        <w:pStyle w:val="TextBody"/>
        <w:bidi w:val="0"/>
        <w:jc w:val="left"/>
        <w:rPr/>
      </w:pPr>
      <w:r>
        <w:rPr/>
        <w:t>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120"/>
        <w:jc w:val="left"/>
        <w:rPr/>
      </w:pPr>
      <w:r>
        <w:rPr>
          <w:rFonts w:ascii="Times New Roman" w:hAnsi="Times New Roman"/>
          <w:color w:val="000000"/>
          <w:sz w:val="20"/>
        </w:rPr>
        <w:t>None</w:t>
      </w:r>
      <w:r>
        <w:rPr>
          <w:color w:val="000000"/>
        </w:rPr>
        <w:t xml:space="preserve"> </w:t>
      </w:r>
      <w:r>
        <w:rPr>
          <w:rFonts w:ascii="Times New Roman" w:hAnsi="Times New Roman"/>
          <w:color w:val="000000"/>
          <w:sz w:val="20"/>
        </w:rPr>
        <w:t>of the Company's directors or officers adopted, modified</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color w:val="000000"/>
          <w:sz w:val="20"/>
        </w:rPr>
        <w:t>terminated</w:t>
      </w:r>
      <w:r>
        <w:rPr>
          <w:color w:val="000000"/>
        </w:rPr>
        <w:t xml:space="preserve"> </w:t>
      </w:r>
      <w:r>
        <w:rPr>
          <w:rFonts w:ascii="Times New Roman" w:hAnsi="Times New Roman"/>
          <w:color w:val="000000"/>
          <w:sz w:val="20"/>
        </w:rPr>
        <w:t>a “Rule 10b5-1 trading arrangement” or “non-Rule 10b5-1 trading arrangement” (as defined in Item 408(c) of SEC Regulation S-K) during the quarter ended December 31, 2025, except as described in the table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0"/>
        <w:gridCol w:w="146"/>
        <w:gridCol w:w="1334"/>
        <w:gridCol w:w="146"/>
        <w:gridCol w:w="1535"/>
        <w:gridCol w:w="146"/>
        <w:gridCol w:w="1495"/>
        <w:gridCol w:w="146"/>
        <w:gridCol w:w="1523"/>
        <w:gridCol w:w="146"/>
        <w:gridCol w:w="177"/>
        <w:gridCol w:w="1258"/>
        <w:gridCol w:w="193"/>
      </w:tblGrid>
      <w:tr>
        <w:trPr/>
        <w:tc>
          <w:tcPr>
            <w:tcW w:w="1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Adopted or Terminated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Type of Trading Arrangement</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Nature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Duration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Aggregate Number of Securities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D. Gries, Jr. (GRM Family Limited Partnership), Board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507,816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Lucas (IIM Holdings II, LLC), CEO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Shannon Lucas (Securus Risk Management), President and COO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The trading arrangement marked as a “Rule 10b5-1 trading arrangement” is intended to satisfy the affirmative defense of Rule 10b5-1(c) under the Exchange Act.</w:t>
      </w:r>
    </w:p>
    <w:p>
      <w:pPr>
        <w:pStyle w:val="TextBody"/>
        <w:bidi w:val="0"/>
        <w:spacing w:before="360" w:after="283"/>
        <w:jc w:val="left"/>
        <w:rPr>
          <w:rFonts w:ascii="Times New Roman" w:hAnsi="Times New Roman"/>
          <w:b/>
          <w:color w:val="000000"/>
          <w:sz w:val="20"/>
        </w:rPr>
      </w:pPr>
      <w:bookmarkStart w:id="25" w:name="item_9c_disclosure_regarding_foreign"/>
      <w:bookmarkEnd w:id="25"/>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6" w:name="item_10_directors_executive_officers"/>
      <w:bookmarkEnd w:id="26"/>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items required by Part III, Item 10 are incorporated herein by reference from the Registrant’s Proxy Statement for its 2026 Annual Meeting of Stockholders to be filed with the SEC within 120 days after the end of our fiscal year ended December 31, 2025.</w:t>
      </w:r>
    </w:p>
    <w:p>
      <w:pPr>
        <w:pStyle w:val="TextBody"/>
        <w:bidi w:val="0"/>
        <w:spacing w:before="360" w:after="283"/>
        <w:jc w:val="left"/>
        <w:rPr>
          <w:rFonts w:ascii="Times New Roman" w:hAnsi="Times New Roman"/>
          <w:b/>
          <w:color w:val="000000"/>
          <w:sz w:val="20"/>
        </w:rPr>
      </w:pPr>
      <w:bookmarkStart w:id="27" w:name="item_11_executive_compensation"/>
      <w:bookmarkEnd w:id="27"/>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items required by Part III, Item 11 are incorporated herein by reference from the Registrant’s Proxy Statement for its 2026 Annual Meeting of Stockholders to be filed with the SEC within 120 days after the end of our fiscal year ended December 31, 2025.</w:t>
      </w:r>
    </w:p>
    <w:p>
      <w:pPr>
        <w:pStyle w:val="TextBody"/>
        <w:bidi w:val="0"/>
        <w:spacing w:before="360" w:after="283"/>
        <w:jc w:val="left"/>
        <w:rPr>
          <w:rFonts w:ascii="Times New Roman" w:hAnsi="Times New Roman"/>
          <w:b/>
          <w:color w:val="000000"/>
          <w:sz w:val="20"/>
        </w:rPr>
      </w:pPr>
      <w:bookmarkStart w:id="28" w:name="item_12_security_ownership"/>
      <w:bookmarkEnd w:id="28"/>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Compensation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as of December 31, 2025 with respect to shares of our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1795"/>
        <w:gridCol w:w="146"/>
        <w:gridCol w:w="302"/>
        <w:gridCol w:w="2148"/>
        <w:gridCol w:w="146"/>
        <w:gridCol w:w="146"/>
        <w:gridCol w:w="536"/>
        <w:gridCol w:w="1188"/>
        <w:gridCol w:w="146"/>
        <w:gridCol w:w="146"/>
        <w:gridCol w:w="383"/>
        <w:gridCol w:w="2726"/>
        <w:gridCol w:w="397"/>
      </w:tblGrid>
      <w:tr>
        <w:trPr/>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 xml:space="preserve">Number of Securities to be Issued upon Exercise of Outstanding Options, Restricted Stock Units and Rights(#)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Weighted Average Exercise Price of Outstanding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Number of Securities Remaining Available for Future Issuance Under Equity Compensation Plans (Excluding Securities Reflected in the first Column)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The Stock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14,087,706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2025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11,968,614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14,207,032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11,968,614</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Restricted stock units are included at target payout levels and have no exercise price. As of December 31, 2025, the Company had no equity compensation plans that were not approved by stockholders.</w:t>
      </w:r>
    </w:p>
    <w:p>
      <w:pPr>
        <w:pStyle w:val="TextBody"/>
        <w:bidi w:val="0"/>
        <w:spacing w:before="360" w:after="283"/>
        <w:jc w:val="left"/>
        <w:rPr>
          <w:rFonts w:ascii="Times New Roman" w:hAnsi="Times New Roman"/>
          <w:b/>
          <w:color w:val="000000"/>
          <w:sz w:val="20"/>
        </w:rPr>
      </w:pPr>
      <w:bookmarkStart w:id="29" w:name="item_13_certain_relationships"/>
      <w:bookmarkEnd w:id="29"/>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items required by Part III, Item 13 are incorporated herein by reference from the Registrant’s Proxy Statement for its 2026 Annual Meeting of Stockholders to be filed with the SEC within 120 days after the end of our fiscal year ended December 31, 2025.</w:t>
      </w:r>
    </w:p>
    <w:p>
      <w:pPr>
        <w:pStyle w:val="TextBody"/>
        <w:bidi w:val="0"/>
        <w:spacing w:before="360" w:after="283"/>
        <w:jc w:val="left"/>
        <w:rPr>
          <w:rFonts w:ascii="Times New Roman" w:hAnsi="Times New Roman"/>
          <w:b/>
          <w:color w:val="000000"/>
          <w:sz w:val="20"/>
        </w:rPr>
      </w:pPr>
      <w:bookmarkStart w:id="30" w:name="item_14_principal_accounting_fees"/>
      <w:bookmarkEnd w:id="30"/>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items required by Part III, Item 14 are incorporated herein by reference from the Registrant’s Proxy Statement for its 2026 Annual Meeting of Stockholders to be filed with the SEC within 120 days after the end of our fiscal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360" w:after="283"/>
        <w:jc w:val="left"/>
        <w:rPr>
          <w:rFonts w:ascii="Times New Roman" w:hAnsi="Times New Roman"/>
          <w:b/>
          <w:color w:val="000000"/>
          <w:sz w:val="20"/>
        </w:rPr>
      </w:pPr>
      <w:bookmarkStart w:id="31" w:name="item_15_exhibits_financial_statement"/>
      <w:bookmarkEnd w:id="31"/>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as part of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Part II, Item 8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statement schedules are omitted because they are not required or applicable or the required information is included in the consolidated financial statements or notes thereto.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additional financial schedules are furnished herewith pursuant to requirements of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00"/>
                  <w:sz w:val="20"/>
                  <w:u w:val="single"/>
                </w:rPr>
                <w:t>Amended and Restated Certificate of Incorporation of Slide Insurance Holdings, Inc. (incorporated by reference to Exhibit 3.1 to the registrant’s Current Report on Form 8-K filed on June 20,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00"/>
                  <w:sz w:val="20"/>
                  <w:u w:val="single"/>
                </w:rPr>
                <w:t>Amended and Restated Bylaws of Slide Insurance Holdings, Inc. (incorporated by reference to Exhibit 3.2 to the registrant’s Current Report on Form 8-K filed on June 20,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00"/>
                  <w:sz w:val="20"/>
                  <w:u w:val="single"/>
                </w:rPr>
                <w:t>Form of Indemnification Agreement between Slide Insurance Holdings, Inc. and its Directors and Officers (incorporated by reference to Exhibit 10.1 to the registrant’s Registration Statement on Form S-1 effective June 17, 2025 (File No. 333-287556)).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00"/>
                  <w:sz w:val="20"/>
                  <w:u w:val="single"/>
                </w:rPr>
                <w:t>Amended and Restated Credit Agreement, dated as of June 25, 2024, by and among Slide Insurance Holdings, Inc., as borrower, certain subsidiaries of Slide Insurance Holdings, Inc, as guarantors, the lenders party thereto, Regions Banks, as administrative agent, collateral agent, issuing bank and swingline lender, Synovus Bank as syndication agent and Texas Capital Bank as documentation agent (incorporated by reference to Exhibit 10.2 to the registrant’s Registration Statement on Form S-1 effective June 17, 2025 (File No. 333-287556)).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00"/>
                  <w:sz w:val="20"/>
                  <w:u w:val="single"/>
                </w:rPr>
                <w:t>Registration Rights Agreement, dated June 20, 2025 (incorporated by reference to Exhibit 10.1 to the registrant’s Current Report on Form 8-K filed on June 20,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00"/>
                  <w:sz w:val="20"/>
                  <w:u w:val="single"/>
                </w:rPr>
                <w:t>Employment Agreement, dated as of September 13, 2021, between Bruce Lucas and Slide Insurance Holdings, Inc. (incorporated by reference to Exhibit 10.4 to the registrant’s Registration Statement on Form S-1 effective June 17, 2025 (File No. 333-287556)).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00"/>
                  <w:sz w:val="20"/>
                  <w:u w:val="single"/>
                </w:rPr>
                <w:t>Employment Agreement, dated as of January 31, 2023, between Jesse Schalk and Slide Insurance Holdings, Inc. (incorporated by reference to Exhibit 10.5 to the registrant’s Registration Statement on Form S-1 effective June 17, 2025 (File No. 333-287556)).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00"/>
                  <w:sz w:val="20"/>
                  <w:u w:val="single"/>
                </w:rPr>
                <w:t>Employment Agreement, dated as of September 13, 2021, between Shannon Lucas and Slide Insurance Holdings, Inc. (incorporated by reference to Exhibit 10.6 to the registrant’s Registration Statement on Form S-1 effective June 17, 2025 (File No. 333-287556)).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00"/>
                  <w:sz w:val="20"/>
                  <w:u w:val="single"/>
                </w:rPr>
                <w:t>Slide Insurance Holdings, Inc. 2021 Equity Compensation Plan (incorporated by reference to Exhibit 10.7 to the registrant’s Registration Statement on Form S-1 effective June 17, 2025 (File No. 333-287556)).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Slide Insurance Holdings, Inc. 2025 Omnibus Incentive Plan (incorporated by reference to Exhibit 10.8 to the registrant’s Registration Statement on Form S-1 effective June 17, 2025 (File No. 333-287556)).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00"/>
                  <w:sz w:val="20"/>
                  <w:u w:val="single"/>
                </w:rPr>
                <w:t>Consent Order, dated January 7, 2022, between the Florida Office of Insurance Regulation and Slide Insurance Company (incorporated by reference to Exhibit 10.9 to the registrant’s Registration Statement on Form S-1 effective June 17, 2025 (File No. 333-287556)).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00"/>
                  <w:sz w:val="20"/>
                  <w:u w:val="single"/>
                </w:rPr>
                <w:t>Stockholders Agreement, dated June 20, 2025 (incorporated by reference to Exhibit 10.2 to the registrant’s Current Report on Form 8-K filed on June 20,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00"/>
                  <w:sz w:val="20"/>
                  <w:u w:val="single"/>
                </w:rPr>
                <w:t>Employment Agreement, dated as of October 31, 2025, between Anastasios Omiridis and Slide Insurance Holdings, Inc. (incorporated by reference to Exhibit 10.1 to the registrant’s Current Report on Form 8-K filed on November 6,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10_12.htm">
              <w:r>
                <w:rPr>
                  <w:rStyle w:val="InternetLink"/>
                  <w:rFonts w:ascii="Times New Roman" w:hAnsi="Times New Roman"/>
                  <w:color w:val="000000"/>
                  <w:sz w:val="20"/>
                  <w:u w:val="single"/>
                </w:rPr>
                <w:t>Separation Agreement and Release, dated as of November 14, 2025, between Jesse Schalk and Slide Insurance Holdings, Inc.</w:t>
              </w:r>
            </w:hyperlink>
            <w:hyperlink w:anchor="slde-ex10_12.htm">
              <w:r>
                <w:rPr>
                  <w:rStyle w:val="InternetLink"/>
                  <w:rFonts w:ascii="Times New Roman" w:hAnsi="Times New Roman"/>
                  <w:color w:val="000000"/>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10_13.htm">
              <w:r>
                <w:rPr>
                  <w:rStyle w:val="InternetLink"/>
                  <w:rFonts w:ascii="Times New Roman" w:hAnsi="Times New Roman"/>
                  <w:color w:val="000000"/>
                  <w:sz w:val="20"/>
                  <w:u w:val="single"/>
                </w:rPr>
                <w:t>Form of Restricted Stock Unit Agreement – Slide Insurance Holdings, Inc. 2025 Omnibus Incentive Plan</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10_14.htm">
              <w:r>
                <w:rPr>
                  <w:rStyle w:val="InternetLink"/>
                  <w:rFonts w:ascii="Times New Roman" w:hAnsi="Times New Roman"/>
                  <w:color w:val="000000"/>
                  <w:sz w:val="20"/>
                  <w:u w:val="single"/>
                </w:rPr>
                <w:t>Form of Performance Stock Unit Agreement - Slide Insurance Holdings, Inc. 2025 Omnibus Incentive Plan</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19_1.htm">
              <w:r>
                <w:rPr>
                  <w:rStyle w:val="InternetLink"/>
                  <w:rFonts w:ascii="Times New Roman" w:hAnsi="Times New Roman"/>
                  <w:color w:val="000000"/>
                  <w:sz w:val="20"/>
                  <w:u w:val="single"/>
                </w:rPr>
                <w:t>Slide Insurance Holdings, Inc. Insider Trading Policy</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21_1.htm">
              <w:r>
                <w:rPr>
                  <w:rStyle w:val="InternetLink"/>
                  <w:rFonts w:ascii="Times New Roman" w:hAnsi="Times New Roman"/>
                  <w:color w:val="000000"/>
                  <w:sz w:val="20"/>
                  <w:u w:val="single"/>
                </w:rPr>
                <w:t>Subsidiaries of the Registrant</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23_1.htm">
              <w:r>
                <w:rPr>
                  <w:rStyle w:val="InternetLink"/>
                  <w:rFonts w:ascii="Times New Roman" w:hAnsi="Times New Roman"/>
                  <w:color w:val="000000"/>
                  <w:sz w:val="20"/>
                  <w:u w:val="single"/>
                </w:rPr>
                <w:t>Consent of Forvis Mazars, LLP</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1_1.htm">
              <w:r>
                <w:rPr>
                  <w:rStyle w:val="InternetLink"/>
                  <w:rFonts w:ascii="Times New Roman" w:hAnsi="Times New Roman"/>
                  <w:color w:val="000000"/>
                  <w:sz w:val="20"/>
                  <w:u w:val="single"/>
                </w:rPr>
                <w:t>Certification of Principal Executive Officer Pursuant to Rules 13a-14(a) and 15d-14(a) under the Securities Exchange Act of 1934, as Adopted Pursuant to Section 302 of the Sarbanes-Oxley Act of 2002.</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1_2.htm">
              <w:r>
                <w:rPr>
                  <w:rStyle w:val="InternetLink"/>
                  <w:rFonts w:ascii="Times New Roman" w:hAnsi="Times New Roman"/>
                  <w:color w:val="000000"/>
                  <w:sz w:val="20"/>
                  <w:u w:val="single"/>
                </w:rPr>
                <w:t>Certification of Principal Financial Officer Pursuant to Rules 13a-14(a) and 15d-14(a) under the Securities Exchange Act of 1934, as Adopted Pursuant to Section 302 of the Sarbanes-Oxley Act of 2002.</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2_1.htm">
              <w:r>
                <w:rPr>
                  <w:rStyle w:val="InternetLink"/>
                  <w:rFonts w:ascii="Times New Roman" w:hAnsi="Times New Roman"/>
                  <w:color w:val="000000"/>
                  <w:sz w:val="20"/>
                  <w:u w:val="single"/>
                </w:rPr>
                <w:t>Certification of Principal Executive Officer Pursuant to 18 U.S.C. Section 1350, as Adopted Pursuant to Section 906 of the Sarbanes-Oxley Act of 2002.</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2_2.htm">
              <w:r>
                <w:rPr>
                  <w:rStyle w:val="InternetLink"/>
                  <w:rFonts w:ascii="Times New Roman" w:hAnsi="Times New Roman"/>
                  <w:color w:val="000000"/>
                  <w:sz w:val="20"/>
                  <w:u w:val="single"/>
                </w:rPr>
                <w:t>Certification of Principal Financial Officer Pursuant to 18 U.S.C. Section 1350, as Adopted Pursuant to Section 906 of the Sarbanes-Oxley Act of 2002.</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97_1.htm">
              <w:r>
                <w:rPr>
                  <w:rStyle w:val="InternetLink"/>
                  <w:rFonts w:ascii="Times New Roman" w:hAnsi="Times New Roman"/>
                  <w:color w:val="000000"/>
                  <w:sz w:val="20"/>
                  <w:u w:val="single"/>
                </w:rPr>
                <w:t>Slide Insurance Holdings, Inc. Clawback Policy</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98" w:type="dxa"/>
        <w:jc w:val="left"/>
        <w:tblInd w:w="0" w:type="dxa"/>
        <w:tblLayout w:type="fixed"/>
        <w:tblCellMar>
          <w:top w:w="28" w:type="dxa"/>
          <w:left w:w="28" w:type="dxa"/>
          <w:bottom w:w="28" w:type="dxa"/>
          <w:right w:w="28" w:type="dxa"/>
        </w:tblCellMar>
      </w:tblPr>
      <w:tblGrid>
        <w:gridCol w:w="856"/>
        <w:gridCol w:w="146"/>
        <w:gridCol w:w="6796"/>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Compensatory plan or arrangement.</w:t>
      </w:r>
    </w:p>
    <w:p>
      <w:pPr>
        <w:pStyle w:val="TextBody"/>
        <w:bidi w:val="0"/>
        <w:jc w:val="both"/>
        <w:rPr>
          <w:rFonts w:ascii="Times New Roman" w:hAnsi="Times New Roman"/>
          <w:color w:val="000000"/>
          <w:sz w:val="20"/>
        </w:rPr>
      </w:pPr>
      <w:r>
        <w:rPr>
          <w:rFonts w:ascii="Times New Roman" w:hAnsi="Times New Roman"/>
          <w:color w:val="000000"/>
          <w:sz w:val="20"/>
        </w:rPr>
        <w:t>^ Non-material schedules and exhibits have been omitted pursuant to Item 601(b)(2) of Regulation S-K. The Company hereby undertakes to furnish supplemental copies of any of the omitted schedules and exhibits upon request by the SEC.</w:t>
      </w:r>
    </w:p>
    <w:p>
      <w:pPr>
        <w:pStyle w:val="TextBody"/>
        <w:bidi w:val="0"/>
        <w:jc w:val="both"/>
        <w:rPr>
          <w:rFonts w:ascii="Times New Roman" w:hAnsi="Times New Roman"/>
          <w:color w:val="000000"/>
          <w:sz w:val="20"/>
        </w:rPr>
      </w:pPr>
      <w:r>
        <w:rPr>
          <w:rFonts w:ascii="Times New Roman" w:hAnsi="Times New Roman"/>
          <w:color w:val="000000"/>
          <w:sz w:val="20"/>
        </w:rPr>
        <w:t># Portions of this exhibit (indicated by asterisks) have been omitted because the registrant has determined that the information is not material and is of the type that the registrant treats as private or confidential.</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32" w:name="item_16_10k_summary"/>
      <w:bookmarkEnd w:id="32"/>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4812" w:type="dxa"/>
        <w:jc w:val="left"/>
        <w:tblInd w:w="0" w:type="dxa"/>
        <w:tblLayout w:type="fixed"/>
        <w:tblCellMar>
          <w:top w:w="28" w:type="dxa"/>
          <w:left w:w="28" w:type="dxa"/>
          <w:bottom w:w="28" w:type="dxa"/>
          <w:right w:w="28" w:type="dxa"/>
        </w:tblCellMar>
      </w:tblPr>
      <w:tblGrid>
        <w:gridCol w:w="2086"/>
        <w:gridCol w:w="146"/>
        <w:gridCol w:w="413"/>
        <w:gridCol w:w="2167"/>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Slide Insurance Holdings,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6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965" w:type="dxa"/>
        <w:jc w:val="left"/>
        <w:tblInd w:w="0" w:type="dxa"/>
        <w:tblLayout w:type="fixed"/>
        <w:tblCellMar>
          <w:top w:w="28" w:type="dxa"/>
          <w:left w:w="28" w:type="dxa"/>
          <w:bottom w:w="28" w:type="dxa"/>
          <w:right w:w="28" w:type="dxa"/>
        </w:tblCellMar>
      </w:tblPr>
      <w:tblGrid>
        <w:gridCol w:w="1981"/>
        <w:gridCol w:w="146"/>
        <w:gridCol w:w="5056"/>
        <w:gridCol w:w="146"/>
        <w:gridCol w:w="163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Chairman of the Board,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Anastasios Omiridis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Anastasios Omiridis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Shannon Lucas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Operating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Shannon Lucas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Gries Jr.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Robert Gries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O'Shea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O'Shea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Beth W. Bruce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Beth W. Bruce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Rohde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Rohde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Wright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Wright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3" w:name="slde-ex10_12.htm"/>
      <w:bookmarkStart w:id="34" w:name="kssldeex10_12"/>
      <w:bookmarkEnd w:id="33"/>
      <w:bookmarkEnd w:id="34"/>
      <w:r>
        <w:rPr>
          <w:rFonts w:ascii="Times New Roman" w:hAnsi="Times New Roman"/>
          <w:b/>
          <w:color w:val="000000"/>
          <w:sz w:val="22"/>
        </w:rPr>
        <w:t>Exhibit 10.12</w:t>
      </w:r>
      <w:r>
        <w:br w:type="page"/>
      </w:r>
    </w:p>
    <w:p>
      <w:pPr>
        <w:pStyle w:val="TextBody"/>
        <w:bidi w:val="0"/>
        <w:spacing w:before="75" w:after="283"/>
        <w:jc w:val="left"/>
        <w:rPr>
          <w:rFonts w:ascii="Times New Roman" w:hAnsi="Times New Roman"/>
          <w:b/>
          <w:color w:val="000000"/>
          <w:sz w:val="24"/>
          <w:u w:val="single"/>
        </w:rPr>
      </w:pPr>
      <w:r>
        <w:rPr>
          <w:rFonts w:ascii="Times New Roman" w:hAnsi="Times New Roman"/>
          <w:b/>
          <w:color w:val="000000"/>
          <w:sz w:val="24"/>
          <w:u w:val="single"/>
        </w:rPr>
        <w:t>CONFIDENTIAL SEPARATION AGREEMENT AND GENERAL RELEASE</w:t>
      </w:r>
    </w:p>
    <w:p>
      <w:pPr>
        <w:pStyle w:val="TextBody"/>
        <w:bidi w:val="0"/>
        <w:spacing w:before="2"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This Confidential Separation Agreement and General Release (“Agreement”) dated November 4, 2025, is knowingly and voluntarily entered into by and between Slide Insurance Holdings, Inc. (“Company”) and Jesse Schalk (“Employee”). The terms “Party” or “Parties” as used herein shall refer to Employee, Company, or both, as may be appropriate.</w:t>
      </w:r>
    </w:p>
    <w:p>
      <w:pPr>
        <w:pStyle w:val="TextBody"/>
        <w:bidi w:val="0"/>
        <w:spacing w:before="2" w:after="283"/>
        <w:jc w:val="left"/>
        <w:rPr/>
      </w:pPr>
      <w:r>
        <w:rPr/>
        <w:t> </w:t>
      </w:r>
    </w:p>
    <w:p>
      <w:pPr>
        <w:pStyle w:val="TextBody"/>
        <w:bidi w:val="0"/>
        <w:spacing w:before="1"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Employee is an at-will employee of the Company with the title of President and Chief Financial Officer;</w:t>
      </w:r>
    </w:p>
    <w:p>
      <w:pPr>
        <w:pStyle w:val="TextBody"/>
        <w:bidi w:val="0"/>
        <w:jc w:val="left"/>
        <w:rPr/>
      </w:pPr>
      <w:r>
        <w:rPr/>
        <w:t> </w:t>
      </w:r>
    </w:p>
    <w:p>
      <w:pPr>
        <w:pStyle w:val="TextBody"/>
        <w:bidi w:val="0"/>
        <w:spacing w:before="1"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have agreed to end Employee’s at-will employment with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this Agreement sets forth the mutual agreement between the Company and</w:t>
      </w:r>
    </w:p>
    <w:p>
      <w:pPr>
        <w:pStyle w:val="TextBody"/>
        <w:bidi w:val="0"/>
        <w:jc w:val="left"/>
        <w:rPr>
          <w:rFonts w:ascii="Times New Roman" w:hAnsi="Times New Roman"/>
          <w:color w:val="000000"/>
          <w:sz w:val="24"/>
        </w:rPr>
      </w:pPr>
      <w:r>
        <w:rPr>
          <w:rFonts w:ascii="Times New Roman" w:hAnsi="Times New Roman"/>
          <w:color w:val="000000"/>
          <w:sz w:val="24"/>
        </w:rPr>
        <w:t>Employee with respect to Employee’s separation of employment from the Company; and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has agreed to severance pay and other consideration to Employee in exchange for his execution of this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intending to be legally bound hereby, and in consideration of the mutual covenants contained herein, and for other good and valuable consideration, the receipt and sufficiency of which are hereby acknowledged, the Parties agree as follows:</w:t>
      </w:r>
    </w:p>
    <w:p>
      <w:pPr>
        <w:pStyle w:val="TextBody"/>
        <w:bidi w:val="0"/>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w:t>
      </w:r>
    </w:p>
    <w:p>
      <w:pPr>
        <w:pStyle w:val="TextBody"/>
        <w:bidi w:val="0"/>
        <w:jc w:val="left"/>
        <w:rPr/>
      </w:pPr>
      <w:r>
        <w:rPr>
          <w:rFonts w:ascii="Times New Roman" w:hAnsi="Times New Roman"/>
          <w:b/>
          <w:color w:val="000000"/>
          <w:sz w:val="24"/>
        </w:rPr>
        <w:t>Separation Date</w:t>
      </w:r>
      <w:r>
        <w:rPr>
          <w:rFonts w:ascii="Times New Roman" w:hAnsi="Times New Roman"/>
          <w:color w:val="000000"/>
          <w:sz w:val="24"/>
        </w:rPr>
        <w:t>: Employee’s final day of employment with the Company will be November 28, 2025 (“Separation Date”).</w:t>
      </w:r>
    </w:p>
    <w:p>
      <w:pPr>
        <w:pStyle w:val="TextBody"/>
        <w:bidi w:val="0"/>
        <w:spacing w:before="1" w:after="283"/>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2.</w:t>
      </w:r>
    </w:p>
    <w:p>
      <w:pPr>
        <w:pStyle w:val="TextBody"/>
        <w:bidi w:val="0"/>
        <w:jc w:val="left"/>
        <w:rPr/>
      </w:pPr>
      <w:r>
        <w:rPr>
          <w:rFonts w:ascii="Times New Roman" w:hAnsi="Times New Roman"/>
          <w:b/>
          <w:color w:val="000000"/>
          <w:sz w:val="24"/>
        </w:rPr>
        <w:t xml:space="preserve">Consideration: </w:t>
      </w:r>
      <w:r>
        <w:rPr>
          <w:rFonts w:ascii="Times New Roman" w:hAnsi="Times New Roman"/>
          <w:color w:val="000000"/>
          <w:sz w:val="24"/>
        </w:rPr>
        <w:t>In consideration for Employee signing this Agreement and complying with its terms, the Company agrees to provide to the following:</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b/>
          <w:color w:val="000000"/>
          <w:sz w:val="24"/>
        </w:rPr>
        <w:t>Severance</w:t>
      </w:r>
      <w:r>
        <w:rPr>
          <w:rFonts w:ascii="Times New Roman" w:hAnsi="Times New Roman"/>
          <w:color w:val="000000"/>
          <w:sz w:val="24"/>
        </w:rPr>
        <w:t>: In lieu of any required notice pursuant to the Employment Agreement between the Company and the Employee dated as of January 31, 2023 (the “Employment Agreement”), Company will pay to Employee the total sum of $178,920.00, split in twenty-eight (28) bi-weekly installments of $6,390.00 (the “Severance Payment”), less applicable state and federal payroll taxes and/or deductions, after the Separation Date and through December 31, 2026 (the “Severance Period”). This will constitute full and final satisfaction of Section III, paragraph 2 of the Employment Agreement, and Employee hereby knowingly and voluntarily waives any claim for breach of Section III, paragraph 2 of the Employment Agreement.</w:t>
      </w:r>
    </w:p>
    <w:p>
      <w:pPr>
        <w:pStyle w:val="TextBody"/>
        <w:bidi w:val="0"/>
        <w:spacing w:before="1"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It is further acknowledged and agreed by Employee that neither the Company nor its attorneys have expressed any opinions nor made any representations concerning any tax consequences associated with the Severance Payment described above, and that Employee will seek advice from his own tax counsel or other advisors.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b/>
          <w:color w:val="000000"/>
          <w:sz w:val="24"/>
        </w:rPr>
        <w:t>Restrictive Covenants</w:t>
      </w:r>
      <w:r>
        <w:rPr>
          <w:rFonts w:ascii="Times New Roman" w:hAnsi="Times New Roman"/>
          <w:color w:val="000000"/>
          <w:sz w:val="24"/>
        </w:rPr>
        <w:t>: All restrictive covenants contained in the Employment will remain in full force and effect, including, but not limited to, the</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confidentiality, non-competition, and non-solicitation restrictive covenants set forth in Section IV of the Employment Agreement (the “Restrictive Covenants”).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Restrictive Covenants contained in the Employment Agreement shall remain in full force and effect pursuant to their terms as if they had been included in their entirety in this Agreement.</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Parties agree that the non-compete provision of Section IV, paragraph 4, of the Employment Agreement shall continue in full force and effect, and be amended to add the following language: “Beginning January 1, 2027, this non- compete provision will prohibit Employee from working as an employee, director, or consultant for any Florida Homeowner’s Insurance companies or subsidiaries, provided the Employee has complied with all terms of the Confidential Separation Agreement and General Release and the Employment Agreement.”</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b/>
          <w:color w:val="000000"/>
          <w:sz w:val="24"/>
        </w:rPr>
        <w:t>COBRA Premiums</w:t>
      </w:r>
      <w:r>
        <w:rPr>
          <w:rFonts w:ascii="Times New Roman" w:hAnsi="Times New Roman"/>
          <w:color w:val="000000"/>
          <w:sz w:val="24"/>
        </w:rPr>
        <w:t>: Employee will cease to be eligible to participate in any medical, vision, and/or dental plans offered by the Company, if applicable, as of 12:00 AM on November 29, 2025. To the extent permitted under, and in accordance with, the Consolidated Omnibus Budget Reconciliation Act (“COBRA”) and/or any state corollaries or counterparts thereof, Employee will have the right to continue coverage as to any Company-provided health insurance plan in which Employee participated during employment with the Company. If Employee is eligible for, and properly elects, healthcare insurance coverage continuation under COBRA or an applicable state law corollary thereof, the Company will be responsible for the payment of all premiums associated with the continuation of such coverage through the Severance Period.</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b/>
          <w:color w:val="000000"/>
          <w:sz w:val="24"/>
        </w:rPr>
        <w:t>Equity Award Treatment</w:t>
      </w:r>
      <w:r>
        <w:rPr>
          <w:rFonts w:ascii="Times New Roman" w:hAnsi="Times New Roman"/>
          <w:color w:val="000000"/>
          <w:sz w:val="24"/>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 xml:space="preserve">As of the Separation Date, Employee’s options to purchase 95,000 shares (prior to adjustment for any stock split occurring subsequent to the date of grant) of the Company’s common stock pursuant to options previously granted to Employee by the Company on June 13, 2022, September 7, 2022, and February 14, 2023 have vested and are exercisable pursuant to and subject to the terms and conditions set forth in the Slide Insurance Holdings, Inc. 2021 Equity Compensation Plan (the “Equity Plan”) and the individual option agreements governing such options (the “Vested Options”).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 xml:space="preserve">Notwithstanding anything to the contrary under the Plan or governing award agreements, (i) Employee’s option to purchase another 30,000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4"/>
        </w:rPr>
        <w:t>shares (prior to adjustment for any stock split occurring subsequent to the date of grant) pursuant to options previously granted to Employee by the Company on June 13, 2022 and February 14, 2023, and (ii) Employee’s grant of 20,000 RSUs (prior to adjustment for any stock split occurring subsequent to the date of grant) pursuant to the Restricted Stock Unit Award Agreement between Company and Employee dated December 17, 2024 (the “RSU Grant Agreement”), in each case, shall continue to vest in accordance with and subject to the terms of the Equity Plan, the applicable award agreements, and the RSU Grant Agreement, provided that Employee continues to perform the services set forth in Section 3 hereof and fully complies with the terms of this Agreement and the Restrictive Covenants through the last day of the Severance Period. All other terms and conditions set forth in the Equity Plan will remain in effect concerning the vesting and exercise of the options and RSUs.</w:t>
      </w:r>
      <w:r>
        <w:rPr>
          <w:color w:val="000000"/>
        </w:rPr>
        <w:t xml:space="preserve">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For the avoidance of doubt, (i) provided Employee complies with all terms of the Equity Plan and the applicable award agreements and otherwise fully complies with the terms of this Agreement and the Restrictive Covenants, Employee’s options to acquire 30,000 shares under the Equity Plan (prior to any applicable stock split)) and 20,000 RSUs (prior to any stock split) awarded under the RSU Grant Agreement shall be fully vested as of December 31, 2026, and (ii) any other unvested options, vested but unexercised options and unvested RSUs outstanding as of December 31, 2026, shall be deemed forfeited and cancelled for no consideration.</w:t>
      </w:r>
    </w:p>
    <w:p>
      <w:pPr>
        <w:pStyle w:val="TextBody"/>
        <w:bidi w:val="0"/>
        <w:spacing w:before="75" w:after="283"/>
        <w:jc w:val="left"/>
        <w:rPr/>
      </w:pPr>
      <w:r>
        <w:rPr/>
        <w:t> </w:t>
      </w:r>
    </w:p>
    <w:p>
      <w:pPr>
        <w:pStyle w:val="TextBody"/>
        <w:bidi w:val="0"/>
        <w:spacing w:before="75"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75" w:after="283"/>
        <w:jc w:val="both"/>
        <w:rPr/>
      </w:pPr>
      <w:r>
        <w:rPr>
          <w:rFonts w:ascii="Times New Roman" w:hAnsi="Times New Roman"/>
          <w:b/>
          <w:color w:val="000000"/>
          <w:sz w:val="24"/>
        </w:rPr>
        <w:t xml:space="preserve">Transition Assistance: </w:t>
      </w:r>
      <w:r>
        <w:rPr>
          <w:rFonts w:ascii="Times New Roman" w:hAnsi="Times New Roman"/>
          <w:color w:val="000000"/>
          <w:sz w:val="24"/>
        </w:rPr>
        <w:t>During the Severance Period, the Employee agrees to serve as a consultant to Company, and provide such services as may be reasonably requested by the Company within its discretion, and make a good faith effort to ensure a smooth and efficient transition, including, but not limited to, being reasonably available to answer questions, transfer knowledge and vendor relationships, and provide clarification regarding job duties, current projects, and related matters. Employee further agrees to be available for up to forty (40) hours per month as a consultant to the Company during the Severance Period.</w:t>
      </w:r>
    </w:p>
    <w:p>
      <w:pPr>
        <w:pStyle w:val="TextBody"/>
        <w:bidi w:val="0"/>
        <w:jc w:val="left"/>
        <w:rPr/>
      </w:pPr>
      <w:r>
        <w:rPr/>
        <w:t> </w:t>
      </w:r>
    </w:p>
    <w:p>
      <w:pPr>
        <w:pStyle w:val="TextBody"/>
        <w:bidi w:val="0"/>
        <w:spacing w:before="1"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1" w:after="283"/>
        <w:jc w:val="both"/>
        <w:rPr/>
      </w:pPr>
      <w:r>
        <w:rPr>
          <w:rFonts w:ascii="Times New Roman" w:hAnsi="Times New Roman"/>
          <w:b/>
          <w:color w:val="000000"/>
          <w:sz w:val="24"/>
        </w:rPr>
        <w:t xml:space="preserve">No Consideration Absent Execution of this Agreement: </w:t>
      </w:r>
      <w:r>
        <w:rPr>
          <w:rFonts w:ascii="Times New Roman" w:hAnsi="Times New Roman"/>
          <w:color w:val="000000"/>
          <w:sz w:val="24"/>
        </w:rPr>
        <w:t xml:space="preserve">Employee understands and agrees that Employee would not receive the consideration specified in Section 2 above, except for Employee’s execution of this Agreement and the fulfillment of the promises contained herein. Employee acknowledges and agrees that (a) the Company has not previously promised to provide any other severance pay or benefit to Employee (other than the Company’s obligations with respect to the notice period provided in the Employment Agreement, which Employee has waived), and (b) apart from this Agreement, the Company is not otherwise obligated to pay any severance compensation or benefit to Employee (other than the Company’s obligations with respect to the notice period provided in the Employment Agreement, which Employee has waived), and the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consideration provided for under this Agreement is in addition to anything which Employee is already entitled to.</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5.</w:t>
      </w:r>
    </w:p>
    <w:p>
      <w:pPr>
        <w:pStyle w:val="TextBody"/>
        <w:bidi w:val="0"/>
        <w:jc w:val="both"/>
        <w:rPr/>
      </w:pPr>
      <w:r>
        <w:rPr>
          <w:rFonts w:ascii="Times New Roman" w:hAnsi="Times New Roman"/>
          <w:b/>
          <w:color w:val="000000"/>
          <w:sz w:val="24"/>
        </w:rPr>
        <w:t xml:space="preserve">No Other Amounts Due or Payable: </w:t>
      </w:r>
      <w:r>
        <w:rPr>
          <w:rFonts w:ascii="Times New Roman" w:hAnsi="Times New Roman"/>
          <w:color w:val="000000"/>
          <w:sz w:val="24"/>
        </w:rPr>
        <w:t>Other than the Severance Payment and any wages due to Employee as of the Separation Date, Employee shall not be entitled to any additional consideration or any additional amounts from the Company including, without limitation, any amounts with respect to his employment by and/or separation from the Company. Employee shall, however, be entitled to seek unemployment benefits without objection from the Company. The Severance Payment is in consideration for the execution (and non-revocation) of this Agreement by Employee.</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6.</w:t>
      </w:r>
    </w:p>
    <w:p>
      <w:pPr>
        <w:pStyle w:val="TextBody"/>
        <w:bidi w:val="0"/>
        <w:jc w:val="both"/>
        <w:rPr>
          <w:rFonts w:ascii="Times New Roman" w:hAnsi="Times New Roman"/>
          <w:b/>
          <w:color w:val="000000"/>
          <w:sz w:val="24"/>
        </w:rPr>
      </w:pPr>
      <w:r>
        <w:rPr>
          <w:rFonts w:ascii="Times New Roman" w:hAnsi="Times New Roman"/>
          <w:b/>
          <w:color w:val="000000"/>
          <w:sz w:val="24"/>
        </w:rPr>
        <w:t>Return of Company Property/Information, Pre-Existing Agreements: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Employee represents and warrants that Employee will return to the Company on or before the end of the Separation Date, any Company documents and property previously in Employee’s possession or control, including, without limitation, any and all services, work, notes, reports, files, memoranda, records, cardkey passes, door and file keys, safe combinations, computer access codes, emails and other communications, disks and instructional or personnel manuals, and other physical or personal property that Employee received or prepared or helped to prepare in connection with Employee’s employment with the Company.</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Employee affirms that Employee is in possession of all of Employee’s property that Employee had at the Company’s premises and that the Company is not in possession of any of Employee’s property.</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rPr>
        <w:t xml:space="preserve">Employee agrees that he will be deemed to have resigned, effective as of the Separation Date, from all officer, director and other positions at the Company and any of its subsidiaries and affiliates and will take any and all actions requested by the Company in order to finalize such resignation. On and after the Separation Date, Employee will not represent himself as being an employee, officer, director, agent </w:t>
      </w:r>
      <w:r>
        <w:rPr>
          <w:rFonts w:ascii="Times New Roman" w:hAnsi="Times New Roman"/>
          <w:color w:val="000000"/>
          <w:sz w:val="22"/>
        </w:rPr>
        <w:t>or representative of the Company or any of its subsidiaries or affiliates.</w:t>
      </w:r>
    </w:p>
    <w:p>
      <w:pPr>
        <w:pStyle w:val="TextBody"/>
        <w:bidi w:val="0"/>
        <w:spacing w:before="4"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7.</w:t>
      </w:r>
    </w:p>
    <w:p>
      <w:pPr>
        <w:pStyle w:val="TextBody"/>
        <w:bidi w:val="0"/>
        <w:jc w:val="both"/>
        <w:rPr/>
      </w:pPr>
      <w:r>
        <w:rPr>
          <w:rFonts w:ascii="Times New Roman" w:hAnsi="Times New Roman"/>
          <w:b/>
          <w:color w:val="000000"/>
          <w:sz w:val="24"/>
        </w:rPr>
        <w:t xml:space="preserve">Employee’s General Release and Waiver of Claims: </w:t>
      </w:r>
      <w:r>
        <w:rPr>
          <w:rFonts w:ascii="Times New Roman" w:hAnsi="Times New Roman"/>
          <w:color w:val="000000"/>
          <w:sz w:val="24"/>
        </w:rPr>
        <w:t>The payments and promises set forth in this Agreement are in full satisfaction of all wages, termination benefits, or other compensation to which Employee may be entitled by virtue of Employee’s work with the Company or Employee’s separation from the Company.</w:t>
      </w:r>
    </w:p>
    <w:p>
      <w:pPr>
        <w:pStyle w:val="TextBody"/>
        <w:bidi w:val="0"/>
        <w:spacing w:before="2"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To the fullest extent permitted by law, Employee hereby releases and waives any and all claims Employee may have against the Company and its owners, agents, officers, shareholders, employees, directors, attorneys, subscribers, subsidiaries, affiliates, successors and assigns (collectively “Company Releasees”),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wages or additional compensation or benefits arising out of Employee’s employment or Employee’s separation of employment, claims under Title VII of the 1964 Civil Rights Act, and any other laws and/or regulations relating to employment or employment discrimination, including, without limitation,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claims based on age or under the Age Discrimination in Employment Act (ADEA) or Older Workers Benefit Protection Act (OWBPA), and/or claims based on disability or under the Americans with Disabilities Act, the Florida Civil Rights Act; the Florida Omnibus AIDS Act; Title 41 of the Florida Statutes, including without limitation, the Florida wage discrimination law; Title 17 of the Florida Statutes, including without limitation, the Florida provision prohibiting discrimination against military personnel, the Florida law prohibiting discrimination on the basis of sickle-cell trait; Title 31 of the Florida Statutes, including without limitation, the retaliation provision of the Florida Workers’ Compensation Act, the Florida unpaid wages law; the Florida Private Sector Whistleblower Act; the Florida Minimum Wage Act; Article X, Section 24 of the Florida Constitution; the retaliation provisions of the Florida False Claims Act, including any and all amendments to the foregoing and any federal, state, local, and/or municipal statute, law, amendment, directive, order, and/or regulation enacted in response to the COVID-19 pandemic.</w:t>
      </w:r>
    </w:p>
    <w:p>
      <w:pPr>
        <w:pStyle w:val="TextBody"/>
        <w:bidi w:val="0"/>
        <w:spacing w:before="11"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Employee expressly acknowledges this Agreement is intended to include in its effect all claims Employee does not know or suspect to exist in Employee’s favor at the time of executing this Agreement, and that this Agreement contemplates the extinguishment of any such claims. Employee understands and agrees that Employee later may discover facts different from or in addition to those Employee now knows or believes to be true regarding the matters released or described in this Agreement, and that the releases and agreements contained in this Agreement shall nevertheless remain effective in all respects notwithstanding any later discovery of any different or additional facts.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release shall not include any claims brought to enforce the terms and conditions of this Agreement.</w:t>
      </w:r>
    </w:p>
    <w:p>
      <w:pPr>
        <w:pStyle w:val="TextBody"/>
        <w:bidi w:val="0"/>
        <w:spacing w:before="4"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8.</w:t>
      </w:r>
    </w:p>
    <w:p>
      <w:pPr>
        <w:pStyle w:val="TextBody"/>
        <w:bidi w:val="0"/>
        <w:jc w:val="both"/>
        <w:rPr/>
      </w:pPr>
      <w:r>
        <w:rPr>
          <w:rFonts w:ascii="Times New Roman" w:hAnsi="Times New Roman"/>
          <w:b/>
          <w:color w:val="000000"/>
          <w:sz w:val="24"/>
        </w:rPr>
        <w:t xml:space="preserve">Company’s General Release and Waiver of Claims: </w:t>
      </w:r>
      <w:r>
        <w:rPr>
          <w:rFonts w:ascii="Times New Roman" w:hAnsi="Times New Roman"/>
          <w:color w:val="000000"/>
          <w:sz w:val="24"/>
        </w:rPr>
        <w:t>In consideration of Employee’s execution (and non-revocation) of this Agreement, the Company, on its behalf and on behalf of the Company Releasees (defined in Section 7 above) hereby releases and waives any and all claims they may have against Employee, his heirs, personal representatives, attorneys, successors and assigns (collectively “Employee Releasees”) whether known or unknown, including without limitation, claims arising out of or in any manner based upon or related to Employee’s relationship with the Company as an employee or officer, or Employee’s relationship in any other capacity, and from all other claims or liabilities of any nature whatsoever which have arisen from any occurrence, transaction, act, omission or communication which transpired or occurred at any time before the date of the signing of this Agreement by the Company. The Company expressly acknowledges this Agreement is intended to include in its effect all claims the Company does not know or suspect to exist in the Company’s favor at the time of executing this Agreement, and that this Agreement contemplates the extinguishment of any such claims. The Company understands and agrees that it later may discover facts different from or in addition to those the Company now knows or believes to be true regarding the matters released or described in this Agreement, and that the releases and agreements contained in this Agreement shall nevertheless remain effective in all respects notwithstanding any later discovery of any different or additional facts.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release shall not include any claims brought to enforce the terms and conditions of this Agreement or the Restrictive Covenants.</w:t>
      </w:r>
    </w:p>
    <w:p>
      <w:pPr>
        <w:pStyle w:val="TextBody"/>
        <w:bidi w:val="0"/>
        <w:spacing w:before="1"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79"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79" w:after="283"/>
        <w:jc w:val="both"/>
        <w:rPr/>
      </w:pPr>
      <w:r>
        <w:rPr>
          <w:rFonts w:ascii="Times New Roman" w:hAnsi="Times New Roman"/>
          <w:b/>
          <w:color w:val="000000"/>
          <w:sz w:val="24"/>
        </w:rPr>
        <w:t xml:space="preserve">Employee Affirmations: </w:t>
      </w:r>
      <w:r>
        <w:rPr>
          <w:rFonts w:ascii="Times New Roman" w:hAnsi="Times New Roman"/>
          <w:color w:val="000000"/>
          <w:sz w:val="24"/>
        </w:rPr>
        <w:t>Employee affirms that Employee has not filed or caused to be filed and is not a party to any claim, complaint or action against the Company or any of the Company Releasees in any forum or form. Employee also affirms that Employee has been paid and/or has received all compensation, wages, bonuses, commissions, and/or benefits that are due and payable as of the date Employee signs this Agreement, and/or that any and all disputes between Employee and the Company regarding any wages or benefits he claims are due, are being fully compromised and released under this Agreement. The Company affirms that, to its knowledge, neither it, nor any Company Releasee or anyone acting on its or their behalf have filed or caused to be filed and are not parties to any claim, complaint or action against any of the Employee Releasees in any forum or form. Employee affirms that he has no outstanding requests for copies of personnel, payroll, or other employment documents from the Company. Employee affirms that he has been granted any leave to which Employee was entitled from the Company under the Family and Medical Leave Act or related state or local leave or disability accommodation laws and/or was advised why any request for reasonable accommodation was not available or would create an undue hardship. Employee further affirms that he has no known workplace injuries or occupational diseases. Employee further affirms that he has not been retaliated against for reporting any allegations of wrongdoing by the Company, its officers or any other Company Releasees identified in this Agreement, including any allegations of corporate fraud.</w:t>
      </w:r>
    </w:p>
    <w:p>
      <w:pPr>
        <w:pStyle w:val="TextBody"/>
        <w:bidi w:val="0"/>
        <w:spacing w:before="7"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The Parties further represent that they (1) have no information or evidence of any unlawful conduct on the part of the Company or of the Employee; (2) have not filed nor made any complaints or charges against the other Party with any local, state or federal governmental agency; (3) are not aware of any regulatory or administrative investigations of the Company or of or involving the Employee; and (4) have no claims against the other Party, other than Employee’s claims for the Severance Payment from the Company pursuant to this Agreement and the Company’s claims for Employee to fulfill his obligations pursuant to this Agreement and comply with the Restrictive Covenants. The Parties specifically disclaim any liability to the other Party or any other person, and deny any alleged violation of any rights of the other Party or any other person, or of any order, law, statute, duty, or contract.</w:t>
      </w:r>
    </w:p>
    <w:p>
      <w:pPr>
        <w:pStyle w:val="TextBody"/>
        <w:bidi w:val="0"/>
        <w:spacing w:before="3"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10.</w:t>
      </w:r>
    </w:p>
    <w:p>
      <w:pPr>
        <w:pStyle w:val="TextBody"/>
        <w:bidi w:val="0"/>
        <w:jc w:val="both"/>
        <w:rPr/>
      </w:pPr>
      <w:r>
        <w:rPr>
          <w:rFonts w:ascii="Times New Roman" w:hAnsi="Times New Roman"/>
          <w:b/>
          <w:color w:val="000000"/>
          <w:sz w:val="24"/>
        </w:rPr>
        <w:t xml:space="preserve">Waiver of Rights and Claims Under the ADEA/OWBPA: </w:t>
      </w:r>
      <w:r>
        <w:rPr>
          <w:rFonts w:ascii="Times New Roman" w:hAnsi="Times New Roman"/>
          <w:color w:val="000000"/>
          <w:sz w:val="24"/>
        </w:rPr>
        <w:t>Because Employee is forty (40) years of age or older, The Company understands that Employee is part of a protected class under the ADEA, as amended by the OWBPA. The Company further understands that pursuant to the OWBPA, Employee may waive any and all potential claims that he may have against the Company relative to age discrimination pursuant to the ADEA. Employee confirms and agrees that: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in consideration for the Severance Payment, Employee specifically and voluntarily waives such rights and/or claims under the ADEA, as amended by the OWBPA, which Employee has or might have against the Company to the extent such rights and/or claims arose prior to the date this Agreement was executed;</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Employee understands that rights or claims under the ADEA, as amended by the OWBPA, which may arise after the date this Agreement is executed are not waived by him;</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Employee has considered the terms and provisions of this Agreement carefully and has consulted with an attorney of his choice or any other person of his choosing prior to executing this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Employee has been, and is herein, informed and understands that he has twenty-one</w:t>
      </w:r>
    </w:p>
    <w:p>
      <w:pPr>
        <w:pStyle w:val="TextBody"/>
        <w:bidi w:val="0"/>
        <w:jc w:val="both"/>
        <w:rPr>
          <w:rFonts w:ascii="Times New Roman" w:hAnsi="Times New Roman"/>
          <w:color w:val="000000"/>
          <w:sz w:val="24"/>
        </w:rPr>
      </w:pPr>
      <w:r>
        <w:rPr>
          <w:rFonts w:ascii="Times New Roman" w:hAnsi="Times New Roman"/>
          <w:color w:val="000000"/>
          <w:sz w:val="24"/>
        </w:rPr>
        <w:t>(21) days within which to consider this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Employee has been, and is herein, informed and understands that for a period of seven</w:t>
      </w:r>
    </w:p>
    <w:p>
      <w:pPr>
        <w:pStyle w:val="TextBody"/>
        <w:bidi w:val="0"/>
        <w:jc w:val="both"/>
        <w:rPr>
          <w:rFonts w:ascii="Times New Roman" w:hAnsi="Times New Roman"/>
          <w:color w:val="000000"/>
          <w:sz w:val="24"/>
        </w:rPr>
      </w:pPr>
      <w:r>
        <w:rPr>
          <w:rFonts w:ascii="Times New Roman" w:hAnsi="Times New Roman"/>
          <w:color w:val="000000"/>
          <w:sz w:val="24"/>
        </w:rPr>
        <w:t>(7) calendar days following the execution of this Agreement, Employee may revoke the Agreement, and the Agreement shall not become effective or enforceable until the revocation period has expired. To revoke, contact Shannon Gougis at (shannong@slideinsurance.com);</w:t>
      </w:r>
    </w:p>
    <w:p>
      <w:pPr>
        <w:pStyle w:val="TextBody"/>
        <w:bidi w:val="0"/>
        <w:spacing w:before="79" w:after="283"/>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Employee has carefully read and fully understands all of the terms and provisions of this Agreement, and he knowingly and voluntarily agrees to all of the terms and provisions set forth in this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rFonts w:ascii="Times New Roman" w:hAnsi="Times New Roman"/>
          <w:color w:val="000000"/>
          <w:sz w:val="24"/>
        </w:rPr>
      </w:pPr>
      <w:r>
        <w:rPr>
          <w:rFonts w:ascii="Times New Roman" w:hAnsi="Times New Roman"/>
          <w:color w:val="000000"/>
          <w:sz w:val="24"/>
        </w:rPr>
        <w:t>in entering into this Agreement, Employee is not relying on any representation, promise, assurance or inducement made by the Company, or by any officer, employee, representative or agent of the Company, with the exception of those matters set forth or described in this Agreement; and</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rFonts w:ascii="Times New Roman" w:hAnsi="Times New Roman"/>
          <w:color w:val="000000"/>
          <w:sz w:val="24"/>
        </w:rPr>
      </w:pPr>
      <w:r>
        <w:rPr>
          <w:rFonts w:ascii="Times New Roman" w:hAnsi="Times New Roman"/>
          <w:color w:val="000000"/>
          <w:sz w:val="24"/>
        </w:rPr>
        <w:t>the twenty-one (21) day review period will not be affected by or extended by any revisions which might be made to this Agreement.</w:t>
      </w:r>
    </w:p>
    <w:p>
      <w:pPr>
        <w:pStyle w:val="TextBody"/>
        <w:bidi w:val="0"/>
        <w:spacing w:before="1" w:after="283"/>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11.</w:t>
      </w:r>
    </w:p>
    <w:p>
      <w:pPr>
        <w:pStyle w:val="TextBody"/>
        <w:bidi w:val="0"/>
        <w:jc w:val="left"/>
        <w:rPr>
          <w:rFonts w:ascii="Times New Roman" w:hAnsi="Times New Roman"/>
          <w:b/>
          <w:color w:val="000000"/>
          <w:sz w:val="24"/>
        </w:rPr>
      </w:pPr>
      <w:r>
        <w:rPr>
          <w:rFonts w:ascii="Times New Roman" w:hAnsi="Times New Roman"/>
          <w:b/>
          <w:color w:val="000000"/>
          <w:sz w:val="24"/>
        </w:rPr>
        <w:t>Confidentiality and Non-Disparagement: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The Parties agree that they will not make or authorize any written or oral statements in any forum including social media that are disparaging, denigrating, demeaning, or untrue regarding the other Party or any of the Company Releasees or Employee Releasees or their personnel or products. Disparaging statements include, but are not limited to, statements that are false, statements that are misleading, and statements that might tend to cast the other Party in a negative light, regardless of their truth or falsity. In the event that either Party breaches this non-disparagement provision, the non-breaching Party may seek any and all appropriate relief, both legal and equitable, including, without limitation, temporary and/or permanent injunctive relief and, in the case of the Company, the immediate return and/or forfeiture of the Severance Payment. This clause does not affect the rights of any Party under subsection (b) or (c) below. This clause also does not restrict Employee’s right to assist coworkers or former coworkers with workplace issues concerning the Company, or from communicating with others, including a union or the National Labor Relations Board, about your employment.</w:t>
      </w:r>
    </w:p>
    <w:p>
      <w:pPr>
        <w:pStyle w:val="TextBody"/>
        <w:bidi w:val="0"/>
        <w:spacing w:before="1"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The Parties shall not disclose or cause to be disclosed the terms of this Agreement to any person (other than your spouse or domestic/civil union partner, attorney and tax advisor), except pursuant to a lawful subpoena, as set forth in subsection (c) below, or as otherwise permitted by law. This provision is not intended to restrict any Party’s legal right to discuss the terms and conditions of Employee’s employment or to assist coworkers or former coworkers with workplace issues concerning the Company, or from communicating with others, including a union or the National Labor Relations Board, about Employee’s employment.</w:t>
      </w:r>
    </w:p>
    <w:p>
      <w:pPr>
        <w:pStyle w:val="TextBody"/>
        <w:bidi w:val="0"/>
        <w:spacing w:before="1" w:after="283"/>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Nothing in this Agreement, including, without limitation, Section 7 (Employee’s General Release and Waiver of Claims), Section 10 (Waiver of Rights and Claims Under the ADEA/OWBPA), and Section 11 (Confidentiality and Non-Disparagement) restricts or prohibits Employee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(“EEOC”), the Department of Labor (“DOL”), the National Labor Relations Board (“NLRB”), the Department of Justice (“DOJ”), the Securities and Exchange Commission (“SEC”), the Florida Department of Financial Services (“FLDFS”), the Florida Office of Insurance Regulation (“FLOIR”), Congress, and any agency Inspector General (collectively, the “Regulators”), or from making other disclosures that are protected under the whistleblower provisions of state or federal law or regulation. However, Employee is waiving Employee’s right to receive any individual monetary relief resulting from such claims brought before the EEOC or other Regulators, regardless of whether Employee or another party has filed them, and in the event you obtain such monetary relief, the Company will be entitled to an offset for the payments made pursuant to this Agreement, except where such limitations are prohibited as a matter of law (e.g., under the Sarbanes-Oxley Act of 2002, 18 U.S.C.A. §§ 1514A). Employee does not need the prior authorization of the Company to engage in such communications with the Regulators, respond to such inquiries from the Regulators, provide confidential information or documents to the Regulators, or make any such reports or disclosures to the Regulators. Employee is not required to notify the Company that he has engaged in such communications with the Regulators. Please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pStyle w:val="TextBody"/>
        <w:bidi w:val="0"/>
        <w:spacing w:before="6" w:after="283"/>
        <w:jc w:val="left"/>
        <w:rPr/>
      </w:pPr>
      <w:r>
        <w:rPr/>
        <w:t> </w:t>
      </w:r>
    </w:p>
    <w:p>
      <w:pPr>
        <w:pStyle w:val="TextBody"/>
        <w:bidi w:val="0"/>
        <w:spacing w:before="1"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1" w:after="283"/>
        <w:jc w:val="both"/>
        <w:rPr/>
      </w:pPr>
      <w:r>
        <w:rPr>
          <w:rFonts w:ascii="Times New Roman" w:hAnsi="Times New Roman"/>
          <w:b/>
          <w:color w:val="000000"/>
          <w:sz w:val="24"/>
        </w:rPr>
        <w:t xml:space="preserve">Arbitration: </w:t>
      </w:r>
      <w:r>
        <w:rPr>
          <w:rFonts w:ascii="Times New Roman" w:hAnsi="Times New Roman"/>
          <w:color w:val="000000"/>
          <w:sz w:val="24"/>
        </w:rPr>
        <w:t xml:space="preserve">Except for any claim for injunctive relief arising out of a breach of a Party’s obligations to protect the other’s confidential information, the Parties agree to arbitrate before the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American Arbitration Association in the State of Florida any and all disputes or claims arising out of or related to the validity, enforceability, interpretation, performance or breach of this Agreement, whether sounding in tort, contract, statutory violation or otherwise, or involving the construction or application of any of the terms, provisions, or conditions of this Agreement.</w:t>
      </w:r>
    </w:p>
    <w:p>
      <w:pPr>
        <w:pStyle w:val="TextBody"/>
        <w:bidi w:val="0"/>
        <w:spacing w:before="2"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13.</w:t>
      </w:r>
    </w:p>
    <w:p>
      <w:pPr>
        <w:pStyle w:val="TextBody"/>
        <w:bidi w:val="0"/>
        <w:jc w:val="both"/>
        <w:rPr/>
      </w:pPr>
      <w:r>
        <w:rPr>
          <w:rFonts w:ascii="Times New Roman" w:hAnsi="Times New Roman"/>
          <w:b/>
          <w:color w:val="000000"/>
          <w:sz w:val="24"/>
        </w:rPr>
        <w:t xml:space="preserve">Attorneys’ Fees: </w:t>
      </w:r>
      <w:r>
        <w:rPr>
          <w:rFonts w:ascii="Times New Roman" w:hAnsi="Times New Roman"/>
          <w:color w:val="000000"/>
          <w:sz w:val="24"/>
        </w:rPr>
        <w:t>If any action is brought to enforce the terms of this Agreement, the prevailing Party will be entitled to recover its reasonable attorneys’ fees, costs, and expenses from the other Party whether at pretrial, trial, or appellate levels, in addition to any other relief to which the prevailing Party may be entitled.</w:t>
      </w:r>
    </w:p>
    <w:p>
      <w:pPr>
        <w:pStyle w:val="TextBody"/>
        <w:bidi w:val="0"/>
        <w:spacing w:before="5" w:after="283"/>
        <w:jc w:val="left"/>
        <w:rPr/>
      </w:pPr>
      <w:r>
        <w:rPr/>
        <w:t> </w:t>
      </w:r>
    </w:p>
    <w:p>
      <w:pPr>
        <w:pStyle w:val="TextBody"/>
        <w:bidi w:val="0"/>
        <w:spacing w:before="79"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79" w:after="283"/>
        <w:jc w:val="both"/>
        <w:rPr/>
      </w:pPr>
      <w:r>
        <w:rPr>
          <w:rFonts w:ascii="Times New Roman" w:hAnsi="Times New Roman"/>
          <w:b/>
          <w:color w:val="000000"/>
          <w:sz w:val="24"/>
        </w:rPr>
        <w:t xml:space="preserve">No Admission of Liability: </w:t>
      </w:r>
      <w:r>
        <w:rPr>
          <w:rFonts w:ascii="Times New Roman" w:hAnsi="Times New Roman"/>
          <w:color w:val="000000"/>
          <w:sz w:val="24"/>
        </w:rPr>
        <w:t>This Agreement is not and shall not be construed or contended by any Party to be an admission or evidence of any wrongdoing or liability on the part of the other Party, or their respective releasees, their representatives, heirs, executors, attorneys, agents, partners, officers, shareholders, directors, employees, subsidiaries, affiliates, divisions, successors or assigns.</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15.</w:t>
      </w:r>
    </w:p>
    <w:p>
      <w:pPr>
        <w:pStyle w:val="TextBody"/>
        <w:bidi w:val="0"/>
        <w:jc w:val="both"/>
        <w:rPr/>
      </w:pPr>
      <w:r>
        <w:rPr>
          <w:rFonts w:ascii="Times New Roman" w:hAnsi="Times New Roman"/>
          <w:b/>
          <w:color w:val="000000"/>
          <w:sz w:val="24"/>
        </w:rPr>
        <w:t xml:space="preserve">Opportunity to Review: </w:t>
      </w:r>
      <w:r>
        <w:rPr>
          <w:rFonts w:ascii="Times New Roman" w:hAnsi="Times New Roman"/>
          <w:color w:val="000000"/>
          <w:sz w:val="24"/>
        </w:rPr>
        <w:t>The Parties represent and agree that they have had the opportunity to discuss this Agreement with counsel of their choosing, have carefully read and fully understand all of the provisions of this Agreement, and that they are voluntarily entering into this Agreement.</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16.</w:t>
      </w:r>
    </w:p>
    <w:p>
      <w:pPr>
        <w:pStyle w:val="TextBody"/>
        <w:bidi w:val="0"/>
        <w:jc w:val="both"/>
        <w:rPr/>
      </w:pPr>
      <w:r>
        <w:rPr>
          <w:rFonts w:ascii="Times New Roman" w:hAnsi="Times New Roman"/>
          <w:b/>
          <w:color w:val="000000"/>
          <w:sz w:val="24"/>
        </w:rPr>
        <w:t xml:space="preserve">Complete and Voluntary Agreement: </w:t>
      </w:r>
      <w:r>
        <w:rPr>
          <w:rFonts w:ascii="Times New Roman" w:hAnsi="Times New Roman"/>
          <w:color w:val="000000"/>
          <w:sz w:val="24"/>
        </w:rPr>
        <w:t>This Agreement constitutes the entire agreement between Employee and the Company with respect to the subject matter hereof and supersedes all prior negotiations, representations, warranties, commitments, offers, contracts and writings, whether written or oral, relating to Employee’s employment with the Company, except the Restrictive Covenants referenced in Paragraph 2(b) of this Agreement. Employee acknowledges that neither the Company, the Company Releasees nor their agents or attorneys have made any promise, representation or warranty whatsoever, either express or implied, written or oral, which is not contained in this Agreement for the purpose of inducing Employee to execute the Agreement, and Employee acknowledges that he has executed this Agreement in reliance only upon the promises, representations and warranties expressly contained herein, and that Employee is executing this Agreement voluntarily, free of any duress or coercion.</w:t>
      </w:r>
    </w:p>
    <w:p>
      <w:pPr>
        <w:pStyle w:val="TextBody"/>
        <w:bidi w:val="0"/>
        <w:spacing w:before="6"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17.</w:t>
      </w:r>
    </w:p>
    <w:p>
      <w:pPr>
        <w:pStyle w:val="TextBody"/>
        <w:bidi w:val="0"/>
        <w:jc w:val="both"/>
        <w:rPr/>
      </w:pPr>
      <w:r>
        <w:rPr>
          <w:rFonts w:ascii="Times New Roman" w:hAnsi="Times New Roman"/>
          <w:b/>
          <w:color w:val="000000"/>
          <w:sz w:val="24"/>
        </w:rPr>
        <w:t xml:space="preserve">Headings: </w:t>
      </w:r>
      <w:r>
        <w:rPr>
          <w:rFonts w:ascii="Times New Roman" w:hAnsi="Times New Roman"/>
          <w:color w:val="000000"/>
          <w:sz w:val="24"/>
        </w:rPr>
        <w:t>The headings in this Agreement are for convenience of reference only and shall not limit or otherwise affect the meaning hereof.</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18.</w:t>
      </w:r>
    </w:p>
    <w:p>
      <w:pPr>
        <w:pStyle w:val="TextBody"/>
        <w:bidi w:val="0"/>
        <w:jc w:val="both"/>
        <w:rPr/>
      </w:pPr>
      <w:r>
        <w:rPr>
          <w:rFonts w:ascii="Times New Roman" w:hAnsi="Times New Roman"/>
          <w:b/>
          <w:color w:val="000000"/>
          <w:sz w:val="24"/>
        </w:rPr>
        <w:t xml:space="preserve">Successors and Assigns: </w:t>
      </w:r>
      <w:r>
        <w:rPr>
          <w:rFonts w:ascii="Times New Roman" w:hAnsi="Times New Roman"/>
          <w:color w:val="000000"/>
          <w:sz w:val="24"/>
        </w:rPr>
        <w:t>This Agreement shall inure to the benefit of each Party and shall be binding upon that Party and their legal representatives, successors and assigns, and upon Employee, and his heirs, administrators, executors and assigns.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 w:after="283"/>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1" w:after="283"/>
        <w:jc w:val="both"/>
        <w:rPr/>
      </w:pPr>
      <w:r>
        <w:rPr>
          <w:rFonts w:ascii="Times New Roman" w:hAnsi="Times New Roman"/>
          <w:b/>
          <w:color w:val="000000"/>
          <w:sz w:val="24"/>
        </w:rPr>
        <w:t xml:space="preserve">Mutual Drafting and Construction: </w:t>
      </w:r>
      <w:r>
        <w:rPr>
          <w:rFonts w:ascii="Times New Roman" w:hAnsi="Times New Roman"/>
          <w:color w:val="000000"/>
          <w:sz w:val="24"/>
        </w:rPr>
        <w:t>The Parties understand and agree that this Agreement is purely voluntary and was prepared for the mutual benefit of the Parties. Neither Party shall be considered to be a unilateral or singular drafter of this Agreement. The Parties understand and agree that this Agreement shall be interpreted in accordance with the plain meaning of its terms and shall not be construed strictly for or against any of the Parties.</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20.</w:t>
      </w:r>
    </w:p>
    <w:p>
      <w:pPr>
        <w:pStyle w:val="TextBody"/>
        <w:bidi w:val="0"/>
        <w:jc w:val="both"/>
        <w:rPr/>
      </w:pPr>
      <w:r>
        <w:rPr>
          <w:rFonts w:ascii="Times New Roman" w:hAnsi="Times New Roman"/>
          <w:b/>
          <w:color w:val="000000"/>
          <w:sz w:val="24"/>
        </w:rPr>
        <w:t xml:space="preserve">Severability: </w:t>
      </w:r>
      <w:r>
        <w:rPr>
          <w:rFonts w:ascii="Times New Roman" w:hAnsi="Times New Roman"/>
          <w:color w:val="000000"/>
          <w:sz w:val="24"/>
        </w:rPr>
        <w:t>Should any provision of this Agreement be declared or be determined by any court of competent jurisdiction to be illegal, invalid, unethical or unenforceable, the legality, validity and enforceability of the remaining parts, terms, or provisions shall not be affected thereby, and said illegal, unenforceable, unethical or invalid part, term, or provision shall be deemed not to be part of this Agreement.</w:t>
      </w:r>
    </w:p>
    <w:p>
      <w:pPr>
        <w:pStyle w:val="TextBody"/>
        <w:bidi w:val="0"/>
        <w:jc w:val="left"/>
        <w:rPr/>
      </w:pPr>
      <w:r>
        <w:rPr/>
        <w:t> </w:t>
      </w:r>
    </w:p>
    <w:p>
      <w:pPr>
        <w:pStyle w:val="TextBody"/>
        <w:bidi w:val="0"/>
        <w:spacing w:before="1" w:after="283"/>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1" w:after="283"/>
        <w:jc w:val="both"/>
        <w:rPr/>
      </w:pPr>
      <w:r>
        <w:rPr>
          <w:rFonts w:ascii="Times New Roman" w:hAnsi="Times New Roman"/>
          <w:b/>
          <w:color w:val="000000"/>
          <w:sz w:val="24"/>
        </w:rPr>
        <w:t xml:space="preserve">Modification; Counterparts; Facsimile/PDF Signatures: </w:t>
      </w:r>
      <w:r>
        <w:rPr>
          <w:rFonts w:ascii="Times New Roman" w:hAnsi="Times New Roman"/>
          <w:color w:val="000000"/>
          <w:sz w:val="24"/>
        </w:rPr>
        <w:t>It is expressly agreed that this Agreement may not be altered, amended, modified, or otherwise changed in any respect except by another written agreement that specifically refers to this Agreement, states that an amendment or modification is being made in the respects set forth in such instrument, and is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equally admissible in any legal proceeding as if an original.</w:t>
      </w:r>
    </w:p>
    <w:p>
      <w:pPr>
        <w:pStyle w:val="TextBody"/>
        <w:bidi w:val="0"/>
        <w:jc w:val="both"/>
        <w:rPr/>
      </w:pPr>
      <w:r>
        <w:rPr/>
        <w:t> </w:t>
      </w:r>
    </w:p>
    <w:p>
      <w:pPr>
        <w:pStyle w:val="TextBody"/>
        <w:bidi w:val="0"/>
        <w:spacing w:before="60" w:after="283"/>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60" w:after="283"/>
        <w:jc w:val="both"/>
        <w:rPr/>
      </w:pPr>
      <w:r>
        <w:rPr>
          <w:rFonts w:ascii="Times New Roman" w:hAnsi="Times New Roman"/>
          <w:b/>
          <w:color w:val="000000"/>
          <w:sz w:val="24"/>
        </w:rPr>
        <w:t xml:space="preserve">Governing Law; Venue; Jury Trial Waiver: </w:t>
      </w:r>
      <w:r>
        <w:rPr>
          <w:rFonts w:ascii="Times New Roman" w:hAnsi="Times New Roman"/>
          <w:color w:val="000000"/>
          <w:sz w:val="24"/>
        </w:rPr>
        <w:t xml:space="preserve">This Agreement shall be governed by and construed in accordance with the laws of the State of Delaware, without regard to choice of law principles. Venue for any litigation or arbitration arising under or in reference to this Agreement shall be exclusively in Hillsborough County, Florida, and the Parties consent to personal jurisdiction in Hillsborough County, Florida. The Parties expressly waive any objection to venue and/or jurisdiction. </w:t>
      </w:r>
      <w:r>
        <w:rPr>
          <w:rFonts w:ascii="Times New Roman" w:hAnsi="Times New Roman"/>
          <w:b/>
          <w:color w:val="000000"/>
          <w:sz w:val="24"/>
        </w:rPr>
        <w:t>THE PARTIES EXPRESSLY, ABSOLUTELY, AND UNCONDITIONALLY WAIVE ANY RIGHT TO A TRIAL BY JURY IN ANY ACTION TO ENFORCE OR DEFEND ANY MATTER ARISING FROM OR RELATED TO THIS AGREEMENT.</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23.</w:t>
      </w:r>
    </w:p>
    <w:p>
      <w:pPr>
        <w:pStyle w:val="TextBody"/>
        <w:bidi w:val="0"/>
        <w:jc w:val="both"/>
        <w:rPr/>
      </w:pPr>
      <w:r>
        <w:rPr>
          <w:rFonts w:ascii="Times New Roman" w:hAnsi="Times New Roman"/>
          <w:b/>
          <w:color w:val="000000"/>
          <w:sz w:val="24"/>
        </w:rPr>
        <w:t xml:space="preserve">Effective Date: </w:t>
      </w:r>
      <w:r>
        <w:rPr>
          <w:rFonts w:ascii="Times New Roman" w:hAnsi="Times New Roman"/>
          <w:color w:val="000000"/>
          <w:sz w:val="24"/>
        </w:rPr>
        <w:t>This Agreement is effective on the date it is signed by both Parties.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185" w:after="283"/>
        <w:jc w:val="center"/>
        <w:rPr>
          <w:rFonts w:ascii="Times New Roman" w:hAnsi="Times New Roman"/>
          <w:color w:val="000000"/>
          <w:sz w:val="24"/>
        </w:rPr>
      </w:pPr>
      <w:r>
        <w:rPr>
          <w:rFonts w:ascii="Times New Roman" w:hAnsi="Times New Roman"/>
          <w:color w:val="000000"/>
          <w:sz w:val="24"/>
        </w:rPr>
        <w:t>[SIGNATURE PAGE TO FOLLOW]</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79" w:after="283"/>
        <w:jc w:val="both"/>
        <w:rPr>
          <w:rFonts w:ascii="Times New Roman" w:hAnsi="Times New Roman"/>
          <w:b/>
          <w:color w:val="000000"/>
          <w:sz w:val="24"/>
        </w:rPr>
      </w:pPr>
      <w:r>
        <w:rPr>
          <w:rFonts w:ascii="Times New Roman" w:hAnsi="Times New Roman"/>
          <w:b/>
          <w:color w:val="000000"/>
          <w:sz w:val="24"/>
        </w:rPr>
        <w:t>HAVING ELECTED TO EXECUTE THIS AGREEMENT, TO FULFILL THE PROMISES CONTAINED HEREIN, AND TO RECEIVE THE CONSIDERATION SET FORTH IN SECTION 2 ABOVE, EMPLOYEE FREELY AND KNOWINGLY, AND AFTER DUE CONSIDERATION, VOLUNTARILY ENTERS INTO THIS AGREEMENT INTENDING TO WAIVE, SETTLE, AND RELEASE ALL CLAIMS EMPLOYEE HAS OR MAY HAVE AGAINST COMPANY AS OF THE EXECUTION OF THIS AGREEMENT.</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knowingly and voluntarily executed this Agreement as of the date(s) set forth below:</w:t>
      </w:r>
    </w:p>
    <w:p>
      <w:pPr>
        <w:pStyle w:val="TextBody"/>
        <w:bidi w:val="0"/>
        <w:jc w:val="left"/>
        <w:rPr/>
      </w:pPr>
      <w:r>
        <w:rPr/>
        <w:t> </w:t>
      </w:r>
    </w:p>
    <w:p>
      <w:pPr>
        <w:pStyle w:val="TextBody"/>
        <w:bidi w:val="0"/>
        <w:jc w:val="left"/>
        <w:rPr/>
      </w:pPr>
      <w:r>
        <w:rPr/>
        <w:t> </w:t>
      </w:r>
    </w:p>
    <w:p>
      <w:pPr>
        <w:pStyle w:val="TextBody"/>
        <w:bidi w:val="0"/>
        <w:spacing w:before="11" w:after="283"/>
        <w:jc w:val="left"/>
        <w:rPr/>
      </w:pPr>
      <w:r>
        <w:rPr/>
        <w:t> </w:t>
      </w:r>
    </w:p>
    <w:p>
      <w:pPr>
        <w:pStyle w:val="Heading1"/>
        <w:bidi w:val="0"/>
        <w:jc w:val="both"/>
        <w:rPr>
          <w:rFonts w:ascii="Times New Roman" w:hAnsi="Times New Roman"/>
          <w:color w:val="000000"/>
          <w:sz w:val="24"/>
        </w:rPr>
      </w:pPr>
      <w:r>
        <w:rPr>
          <w:rFonts w:ascii="Times New Roman" w:hAnsi="Times New Roman"/>
          <w:color w:val="000000"/>
          <w:sz w:val="24"/>
        </w:rPr>
        <w:t>SLIDE INSURANCE HOLDINGS, INC. EMPLOYEE</w:t>
      </w:r>
    </w:p>
    <w:p>
      <w:pPr>
        <w:pStyle w:val="Heading1"/>
        <w:bidi w:val="0"/>
        <w:jc w:val="both"/>
        <w:rPr/>
      </w:pPr>
      <w:r>
        <w:rPr/>
        <w:t> </w:t>
      </w:r>
    </w:p>
    <w:tbl>
      <w:tblPr>
        <w:tblW w:w="4967" w:type="dxa"/>
        <w:jc w:val="left"/>
        <w:tblInd w:w="0" w:type="dxa"/>
        <w:tblLayout w:type="fixed"/>
        <w:tblCellMar>
          <w:top w:w="28" w:type="dxa"/>
          <w:left w:w="28" w:type="dxa"/>
          <w:bottom w:w="28" w:type="dxa"/>
          <w:right w:w="28" w:type="dxa"/>
        </w:tblCellMar>
      </w:tblPr>
      <w:tblGrid>
        <w:gridCol w:w="2941"/>
        <w:gridCol w:w="2026"/>
      </w:tblGrid>
      <w:tr>
        <w:trPr/>
        <w:tc>
          <w:tcPr>
            <w:tcW w:w="294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Bruce Lucas</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Jesse Schalk</w:t>
            </w:r>
          </w:p>
        </w:tc>
      </w:tr>
      <w:tr>
        <w:trPr/>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Bruce Lucas</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Jesse Schalk</w:t>
            </w:r>
          </w:p>
        </w:tc>
      </w:tr>
      <w:tr>
        <w:trPr/>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Title: </w:t>
            </w:r>
            <w:r>
              <w:rPr>
                <w:rFonts w:ascii="Times New Roman" w:hAnsi="Times New Roman"/>
                <w:color w:val="000000"/>
                <w:sz w:val="24"/>
                <w:u w:val="single"/>
              </w:rPr>
              <w:t>Chief Executive Officer</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Date: </w:t>
            </w:r>
            <w:r>
              <w:rPr>
                <w:rFonts w:ascii="Times New Roman" w:hAnsi="Times New Roman"/>
                <w:color w:val="000000"/>
                <w:sz w:val="24"/>
                <w:u w:val="single"/>
              </w:rPr>
              <w:t>11/14/2025</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Date: </w:t>
            </w:r>
            <w:r>
              <w:rPr>
                <w:rFonts w:ascii="Times New Roman" w:hAnsi="Times New Roman"/>
                <w:color w:val="000000"/>
                <w:sz w:val="24"/>
                <w:u w:val="single"/>
              </w:rPr>
              <w:t>11/14/2024</w:t>
            </w:r>
          </w:p>
        </w:tc>
      </w:tr>
    </w:tbl>
    <w:p>
      <w:pPr>
        <w:pStyle w:val="Heading1"/>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5" w:name="slde-ex10_13.htm"/>
      <w:bookmarkStart w:id="36" w:name="kssldeex10_13"/>
      <w:bookmarkEnd w:id="35"/>
      <w:bookmarkEnd w:id="36"/>
      <w:r>
        <w:rPr>
          <w:rFonts w:ascii="Times New Roman" w:hAnsi="Times New Roman"/>
          <w:b/>
          <w:color w:val="000000"/>
          <w:sz w:val="24"/>
        </w:rPr>
        <w:t>Exhibit 10.13</w:t>
      </w:r>
      <w:r>
        <w:br w:type="page"/>
      </w:r>
    </w:p>
    <w:p>
      <w:pPr>
        <w:pStyle w:val="TextBody"/>
        <w:bidi w:val="0"/>
        <w:jc w:val="center"/>
        <w:rPr>
          <w:rFonts w:ascii="Times New Roman" w:hAnsi="Times New Roman"/>
          <w:sz w:val="20"/>
        </w:rPr>
      </w:pPr>
      <w:r>
        <w:rPr>
          <w:rFonts w:ascii="Times New Roman" w:hAnsi="Times New Roman"/>
          <w:b/>
          <w:caps/>
          <w:color w:val="000000"/>
          <w:sz w:val="24"/>
        </w:rPr>
        <w:t>Slide Insurance Holdings, Inc.</w:t>
      </w:r>
      <w:r>
        <w:rPr>
          <w:rFonts w:ascii="Times New Roman" w:hAnsi="Times New Roman"/>
          <w:b/>
          <w:color w:val="000000"/>
          <w:sz w:val="24"/>
        </w:rPr>
        <w:br/>
        <w:t>RESTRICTED SHARE UNIT AWARD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Restricted Share Unit Award Agreement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by and between Slide Insurance Holdings,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the participant whose name appears below (the “</w:t>
      </w:r>
      <w:r>
        <w:rPr>
          <w:rFonts w:ascii="Times New Roman" w:hAnsi="Times New Roman"/>
          <w:b/>
          <w:color w:val="000000"/>
          <w:sz w:val="24"/>
        </w:rPr>
        <w:t>Participant</w:t>
      </w:r>
      <w:r>
        <w:rPr>
          <w:rFonts w:ascii="Times New Roman" w:hAnsi="Times New Roman"/>
          <w:color w:val="000000"/>
          <w:sz w:val="20"/>
        </w:rPr>
        <w:t>”</w:t>
      </w:r>
      <w:r>
        <w:rPr>
          <w:rFonts w:ascii="Times New Roman" w:hAnsi="Times New Roman"/>
          <w:color w:val="000000"/>
          <w:sz w:val="24"/>
        </w:rPr>
        <w:t>) in order to set forth the terms and conditions of Restricted Share Units (the “</w:t>
      </w:r>
      <w:r>
        <w:rPr>
          <w:rFonts w:ascii="Times New Roman" w:hAnsi="Times New Roman"/>
          <w:b/>
          <w:color w:val="000000"/>
          <w:sz w:val="24"/>
        </w:rPr>
        <w:t>RSUs</w:t>
      </w:r>
      <w:r>
        <w:rPr>
          <w:rFonts w:ascii="Times New Roman" w:hAnsi="Times New Roman"/>
          <w:color w:val="000000"/>
          <w:sz w:val="20"/>
        </w:rPr>
        <w:t>”</w:t>
      </w:r>
      <w:r>
        <w:rPr>
          <w:rFonts w:ascii="Times New Roman" w:hAnsi="Times New Roman"/>
          <w:color w:val="000000"/>
          <w:sz w:val="24"/>
        </w:rPr>
        <w:t>) granted to the Participant under the Slide Insurance Holdings, Inc. 2025 Omnibus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w:t>
      </w:r>
    </w:p>
    <w:p>
      <w:pPr>
        <w:pStyle w:val="TextBody"/>
        <w:bidi w:val="0"/>
        <w:jc w:val="both"/>
        <w:rPr>
          <w:rFonts w:ascii="Times New Roman" w:hAnsi="Times New Roman"/>
          <w:sz w:val="20"/>
        </w:rPr>
      </w:pPr>
      <w:r>
        <w:rPr>
          <w:rFonts w:ascii="Times New Roman" w:hAnsi="Times New Roman"/>
          <w:b/>
          <w:color w:val="000000"/>
          <w:sz w:val="24"/>
        </w:rPr>
        <w:t>Participant’s Name: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Award Type: RSUs</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Date of Grant”: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Number of RSUs:</w:t>
      </w:r>
      <w:r>
        <w:rPr>
          <w:rFonts w:ascii="Times New Roman" w:hAnsi="Times New Roman"/>
          <w:color w:val="000000"/>
          <w:sz w:val="20"/>
        </w:rPr>
        <w:t xml:space="preserve"> </w:t>
      </w:r>
    </w:p>
    <w:p>
      <w:pPr>
        <w:pStyle w:val="TextBody"/>
        <w:bidi w:val="0"/>
        <w:spacing w:before="280" w:after="283"/>
        <w:jc w:val="center"/>
        <w:rPr/>
      </w:pPr>
      <w:r>
        <w:rPr>
          <w:color w:val="000000"/>
          <w:u w:val="single"/>
        </w:rPr>
        <w:t>“</w:t>
      </w:r>
      <w:r>
        <w:rPr>
          <w:rFonts w:ascii="Times New Roman" w:hAnsi="Times New Roman"/>
          <w:b/>
          <w:color w:val="000000"/>
          <w:sz w:val="24"/>
          <w:u w:val="single"/>
        </w:rPr>
        <w:t>Vesting Schedule</w:t>
      </w:r>
      <w:r>
        <w:rPr>
          <w:rFonts w:ascii="Times New Roman" w:hAnsi="Times New Roman"/>
          <w:color w:val="000000"/>
          <w:sz w:val="20"/>
          <w:u w:val="single"/>
        </w:rPr>
        <w:t>”</w:t>
      </w:r>
    </w:p>
    <w:p>
      <w:pPr>
        <w:pStyle w:val="TextBody"/>
        <w:bidi w:val="0"/>
        <w:jc w:val="both"/>
        <w:rPr>
          <w:rFonts w:ascii="Times New Roman" w:hAnsi="Times New Roman"/>
          <w:color w:val="000000"/>
          <w:sz w:val="24"/>
        </w:rPr>
      </w:pPr>
      <w:r>
        <w:rPr>
          <w:rFonts w:ascii="Times New Roman" w:hAnsi="Times New Roman"/>
          <w:color w:val="000000"/>
          <w:sz w:val="24"/>
        </w:rPr>
        <w:t>Subject to Section 2 of the Terms and Conditions below, % of the RSUs shall vest on each date as listed below:</w:t>
      </w:r>
    </w:p>
    <w:p>
      <w:pPr>
        <w:pStyle w:val="TextBody"/>
        <w:bidi w:val="0"/>
        <w:spacing w:before="280" w:after="240"/>
        <w:jc w:val="both"/>
        <w:rPr>
          <w:rFonts w:ascii="Times New Roman" w:hAnsi="Times New Roman"/>
          <w:color w:val="000000"/>
          <w:sz w:val="24"/>
        </w:rPr>
      </w:pPr>
      <w:r>
        <w:rPr>
          <w:rFonts w:ascii="Times New Roman" w:hAnsi="Times New Roman"/>
          <w:color w:val="000000"/>
          <w:sz w:val="24"/>
        </w:rPr>
        <w:t>Subject to the attached Terms and Conditions and the terms of the Plan, which are incorporated herein by reference, the Company hereby grants to the Participant, on the Date of Grant, the number of RSUs, with the Vesting Schedule as set forth above. Capitalized terms used but not otherwise defined herein or in the attached Terms and Conditions shall have the meanings ascribed to such terms in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Company has duly executed and delivered this Agreement as of the Date of Grant.</w:t>
      </w:r>
    </w:p>
    <w:tbl>
      <w:tblPr>
        <w:tblW w:w="6372" w:type="dxa"/>
        <w:jc w:val="left"/>
        <w:tblInd w:w="0" w:type="dxa"/>
        <w:tblLayout w:type="fixed"/>
        <w:tblCellMar>
          <w:top w:w="28" w:type="dxa"/>
          <w:left w:w="28" w:type="dxa"/>
          <w:bottom w:w="28" w:type="dxa"/>
          <w:right w:w="28" w:type="dxa"/>
        </w:tblCellMar>
      </w:tblPr>
      <w:tblGrid>
        <w:gridCol w:w="599"/>
        <w:gridCol w:w="3766"/>
        <w:gridCol w:w="146"/>
        <w:gridCol w:w="1861"/>
      </w:tblGrid>
      <w:tr>
        <w:trPr/>
        <w:tc>
          <w:tcPr>
            <w:tcW w:w="599"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43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4"/>
              </w:rPr>
            </w:pPr>
            <w:r>
              <w:rPr>
                <w:rFonts w:ascii="Times New Roman" w:hAnsi="Times New Roman"/>
                <w:b/>
                <w:caps/>
                <w:color w:val="000000"/>
                <w:sz w:val="24"/>
              </w:rPr>
              <w:t>Slide Insurance Holdings,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PARTICIPANT</w:t>
            </w:r>
          </w:p>
          <w:p>
            <w:pPr>
              <w:pStyle w:val="TableContents"/>
              <w:bidi w:val="0"/>
              <w:spacing w:before="0" w:after="283"/>
              <w:jc w:val="left"/>
              <w:rPr/>
            </w:pPr>
            <w:r>
              <w:rPr/>
              <w:t> </w:t>
            </w:r>
          </w:p>
        </w:tc>
      </w:tr>
      <w:tr>
        <w:trPr/>
        <w:tc>
          <w:tcPr>
            <w:tcW w:w="4365" w:type="dxa"/>
            <w:gridSpan w:val="2"/>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76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jc w:val="left"/>
              <w:rPr/>
            </w:pPr>
            <w:r>
              <w:rPr/>
              <w:t> </w:t>
            </w:r>
          </w:p>
          <w:p>
            <w:pPr>
              <w:pStyle w:val="TableContents"/>
              <w:pBdr>
                <w:bottom w:val="single" w:sz="4" w:space="1" w:color="000000"/>
              </w:pBdr>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Bruce Lucas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4"/>
        </w:rPr>
        <w:t>Slide Insurance Holdings, Inc.</w:t>
      </w:r>
      <w:r>
        <w:rPr>
          <w:rFonts w:ascii="Times New Roman" w:hAnsi="Times New Roman"/>
          <w:b/>
          <w:color w:val="000000"/>
          <w:sz w:val="24"/>
        </w:rPr>
        <w:br/>
        <w:t xml:space="preserve">2025 OMNIBUS INCENTIVE PLAN </w:t>
        <w:br/>
      </w:r>
      <w:r>
        <w:rPr>
          <w:rFonts w:ascii="Times New Roman" w:hAnsi="Times New Roman"/>
          <w:b/>
          <w:color w:val="000000"/>
          <w:sz w:val="24"/>
          <w:u w:val="single"/>
        </w:rPr>
        <w:t>Terms and Conditions of RSU Grant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both"/>
        <w:rPr/>
      </w:pPr>
      <w:r>
        <w:rPr>
          <w:rFonts w:ascii="Times New Roman" w:hAnsi="Times New Roman"/>
          <w:color w:val="000000"/>
          <w:sz w:val="24"/>
          <w:u w:val="single"/>
        </w:rPr>
        <w:t>GRANT OF RSUs</w:t>
      </w:r>
      <w:r>
        <w:rPr>
          <w:rFonts w:ascii="Times New Roman" w:hAnsi="Times New Roman"/>
          <w:color w:val="000000"/>
          <w:sz w:val="24"/>
        </w:rPr>
        <w:t>. The RSUs have been granted to the Participant as an incentive for the Participant to continue to provide services to the Company and its Subsidiaries, including any Subsidiary employing the Participant (the “</w:t>
      </w:r>
      <w:r>
        <w:rPr>
          <w:rFonts w:ascii="Times New Roman" w:hAnsi="Times New Roman"/>
          <w:b/>
          <w:color w:val="000000"/>
          <w:sz w:val="24"/>
        </w:rPr>
        <w:t>Employer</w:t>
      </w:r>
      <w:r>
        <w:rPr>
          <w:color w:val="000000"/>
        </w:rPr>
        <w:t>”</w:t>
      </w:r>
      <w:r>
        <w:rPr>
          <w:rFonts w:ascii="Times New Roman" w:hAnsi="Times New Roman"/>
          <w:color w:val="000000"/>
          <w:sz w:val="24"/>
        </w:rPr>
        <w:t>), and to align the Participant’s interests with those of the Company. Each RSU corresponds to one Share. Each RSU constitutes a contingent and unsecured promise by the Company to deliver one Share on the settlement date, as set forth in Section ‎‎3.</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both"/>
        <w:rPr/>
      </w:pPr>
      <w:r>
        <w:rPr>
          <w:rFonts w:ascii="Times New Roman" w:hAnsi="Times New Roman"/>
          <w:color w:val="000000"/>
          <w:sz w:val="24"/>
          <w:u w:val="single"/>
        </w:rPr>
        <w:t>VESTING; TERMINATION OF SERVICE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RSUs shall vest in accordance with the Vesting Schedule, subject to the Participant’s continuous service with the Company and its Subsidiaries through each applicable vesting date. Unless determined otherwise by the Committee, all unvested RSUs shall be immediately forfeited upon the Participant’s Termination of Service for any reason.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the Participant’s (i) Termination of Service by the Company or its Subsidiaries for Cause or (ii) breach of any restrictive covenants that the Participant is subject to with respect to the Company or its Subsidiaries, any outstanding RSUs, whether vested or unvested, shall be immediately forfeited for no consideration.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both"/>
        <w:rPr/>
      </w:pPr>
      <w:r>
        <w:rPr>
          <w:rFonts w:ascii="Times New Roman" w:hAnsi="Times New Roman"/>
          <w:color w:val="000000"/>
          <w:sz w:val="24"/>
          <w:u w:val="single"/>
        </w:rPr>
        <w:t>SETTLEMENT</w:t>
      </w:r>
      <w:r>
        <w:rPr>
          <w:rFonts w:ascii="Times New Roman" w:hAnsi="Times New Roman"/>
          <w:color w:val="000000"/>
          <w:sz w:val="24"/>
        </w:rPr>
        <w:t xml:space="preserve">. Except as otherwise set forth in the Plan, vested RSUs will be settled in Shares, and the Participant shall receive the number of Shares that corresponds to the number of RSUs that have become vested as of the applicable vesting date, which Shares shall be delivered as soon as practicable following the applicable vesting date, as determined in the Committee’s sole discretion, but in no event later than March 15 of the of the calendar year immediately following the year in which the RSUs vested.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both"/>
        <w:rPr/>
      </w:pPr>
      <w:r>
        <w:rPr>
          <w:rFonts w:ascii="Times New Roman" w:hAnsi="Times New Roman"/>
          <w:color w:val="000000"/>
          <w:sz w:val="24"/>
          <w:u w:val="single"/>
        </w:rPr>
        <w:t>DIVIDEND EQUIVALENT PAYMENTS</w:t>
      </w:r>
      <w:r>
        <w:rPr>
          <w:rFonts w:ascii="Times New Roman" w:hAnsi="Times New Roman"/>
          <w:color w:val="000000"/>
          <w:sz w:val="24"/>
        </w:rPr>
        <w:t>. RSUs will not entitle the Participant to any dividends with respect to the underlying Shares unless and until the RSUs are settled in Shares. Notwithstanding the foregoing, if any dividend is declared on Shares, the Participant shall receive a payment in the same amount as the dividend the Participant would have received if he or she held Shares in respect of his or her vested or unvested RSUs held but not previously forfeited immediately prior to the record date of the dividend (a “</w:t>
      </w:r>
      <w:r>
        <w:rPr>
          <w:rFonts w:ascii="Times New Roman" w:hAnsi="Times New Roman"/>
          <w:b/>
          <w:color w:val="000000"/>
          <w:sz w:val="24"/>
        </w:rPr>
        <w:t>Dividend Equivalent</w:t>
      </w:r>
      <w:r>
        <w:rPr>
          <w:color w:val="000000"/>
        </w:rPr>
        <w:t>”</w:t>
      </w:r>
      <w:r>
        <w:rPr>
          <w:rFonts w:ascii="Times New Roman" w:hAnsi="Times New Roman"/>
          <w:color w:val="000000"/>
          <w:sz w:val="24"/>
        </w:rPr>
        <w:t>). No such Dividend Equivalents will be paid to the Participant with respect to any RSU that is thereafter cancelled or forfeited prior to the applicable vesting date. The Committee will determine the form of payment in its sole discretion and may pay Dividend Equivalents in Shares, cash or a combination thereof. The Company will pay the Dividend Equivalents at such time when the corresponding RSUs settle.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5.</w:t>
      </w:r>
    </w:p>
    <w:p>
      <w:pPr>
        <w:pStyle w:val="TextBody"/>
        <w:bidi w:val="0"/>
        <w:spacing w:before="0" w:after="240"/>
        <w:jc w:val="both"/>
        <w:rPr/>
      </w:pPr>
      <w:r>
        <w:rPr>
          <w:rFonts w:ascii="Times New Roman" w:hAnsi="Times New Roman"/>
          <w:color w:val="000000"/>
          <w:sz w:val="24"/>
          <w:u w:val="single"/>
        </w:rPr>
        <w:t>NONTRANSFERABILITY</w:t>
      </w:r>
      <w:r>
        <w:rPr>
          <w:rFonts w:ascii="Times New Roman" w:hAnsi="Times New Roman"/>
          <w:color w:val="000000"/>
          <w:sz w:val="24"/>
        </w:rPr>
        <w:t xml:space="preserve">. No portion of the RSUs may be sold, assigned, transferred, encumbered, hypothecated, or pledged by the Participant unless and until payment is made in respect of vested RSUs in accordance with the provisions hereof and the Participant has become the holder of record of the vested Shares issuable hereunder, other than (i) to the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as a result of forfeiture of the RSUs as provided herein, (ii) by will or the applicable laws of descent and distribution or (iii) as otherwise provided by the Committee.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6.</w:t>
      </w:r>
    </w:p>
    <w:p>
      <w:pPr>
        <w:pStyle w:val="TextBody"/>
        <w:bidi w:val="0"/>
        <w:spacing w:before="0" w:after="240"/>
        <w:jc w:val="both"/>
        <w:rPr/>
      </w:pPr>
      <w:r>
        <w:rPr>
          <w:rFonts w:ascii="Times New Roman" w:hAnsi="Times New Roman"/>
          <w:color w:val="000000"/>
          <w:sz w:val="24"/>
          <w:u w:val="single"/>
        </w:rPr>
        <w:t>TAX AND WITHHOLDING</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rPr>
        <w:t>The Participant acknowledges that, regardless of any action taken by the Company or the Employer, the ultimate liability for all income tax, social insurance, payroll tax, fringe benefits tax, payment on account or other tax-related items related to the Participant’s participation in the Plan and legally applicable to the Participant (“</w:t>
      </w:r>
      <w:r>
        <w:rPr>
          <w:rFonts w:ascii="Times New Roman" w:hAnsi="Times New Roman"/>
          <w:b/>
          <w:color w:val="000000"/>
          <w:sz w:val="24"/>
        </w:rPr>
        <w:t>Tax-Related Items</w:t>
      </w:r>
      <w:r>
        <w:rPr>
          <w:color w:val="000000"/>
        </w:rPr>
        <w:t>”</w:t>
      </w:r>
      <w:r>
        <w:rPr>
          <w:rFonts w:ascii="Times New Roman" w:hAnsi="Times New Roman"/>
          <w:color w:val="000000"/>
          <w:sz w:val="24"/>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upon settlement of the RSUs and the receipt of any dividends and/or Dividend Equivalents;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any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at their discretion, to satisfy any applicable withholding obligations with regard to all Tax-Related Items in the manner determined by the Company and/or the Employer from time to time, which may include: (i) withholding from the Participant’s wages or other cash compensation paid to the Participant by the Company and/or the Employer; (ii) requiring the Participant to remit the aggregate amount of such Tax-Related Items to the Company in full, in cash or by check, bank draft or money order payable to the order of the Company or the Employer; (iii) through a procedure whereby the Participant delivers irrevocable instructions to a broker reasonably acceptable to the Committee to sell Shares obtained upon settlement of the Award and to deliver promptly to the Company an amount of the proceeds of such sale equal to the amount of the Tax-Related Items; (iv) by a “net settlement” under which the Company reduces the number of Shares issued on settlement of the RSUs by the number of Shares with an aggregate Fair Market Value that equals the amount of the Tax-Related Items; or (iv) any other method of withholding determined by the Company and permitted by applicable law.</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Depending on the withholding method, the Company and/or the Employer may withhold or account for the Tax-Related Items by considering minimum statutory withholding rates or other withholding rates, including maximum applicable rates in the Participant’s jurisdiction, in which case the Participant may receive a refund of any over-withheld amount in cash and will have no entitlement to the equivalent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Shares. If the obligation for Tax-Related Items is satisfied by withholding in Shares, for tax purposes, Participant will be deemed to have been issued the full number of Shares subject to the Award, notwithstanding that a number of Shares are held back solely for the purpose of satisfying the Tax-Related Items.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Finally,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the proceeds of the sale of Shares, if the Participant fails to comply with the Participant’s obligations in connection with the Tax-Related Items.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7.</w:t>
      </w:r>
    </w:p>
    <w:p>
      <w:pPr>
        <w:pStyle w:val="TextBody"/>
        <w:bidi w:val="0"/>
        <w:spacing w:before="0" w:after="240"/>
        <w:jc w:val="both"/>
        <w:rPr/>
      </w:pPr>
      <w:r>
        <w:rPr>
          <w:rFonts w:ascii="Times New Roman" w:hAnsi="Times New Roman"/>
          <w:color w:val="000000"/>
          <w:sz w:val="24"/>
          <w:u w:val="single"/>
        </w:rPr>
        <w:t>RIGHTS AS SHAREHOLDER</w:t>
      </w:r>
      <w:r>
        <w:rPr>
          <w:rFonts w:ascii="Times New Roman" w:hAnsi="Times New Roman"/>
          <w:color w:val="000000"/>
          <w:sz w:val="24"/>
        </w:rPr>
        <w:t>. The Participant will not have any rights as a shareholder in the Shares corresponding to the RSUs prior to settlement of the RSUs.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8.</w:t>
      </w:r>
    </w:p>
    <w:p>
      <w:pPr>
        <w:pStyle w:val="TextBody"/>
        <w:bidi w:val="0"/>
        <w:spacing w:before="0" w:after="240"/>
        <w:jc w:val="both"/>
        <w:rPr/>
      </w:pPr>
      <w:r>
        <w:rPr>
          <w:rFonts w:ascii="Times New Roman" w:hAnsi="Times New Roman"/>
          <w:color w:val="000000"/>
          <w:sz w:val="24"/>
          <w:u w:val="single"/>
        </w:rPr>
        <w:t>SECURITIES LAW COMPLIANCE</w:t>
      </w:r>
      <w:r>
        <w:rPr>
          <w:rFonts w:ascii="Times New Roman" w:hAnsi="Times New Roman"/>
          <w:color w:val="000000"/>
          <w:sz w:val="24"/>
        </w:rPr>
        <w:t>. The Company may, if it determines it is appropriate, affix any legend to the share certificates representing Shares issued upon settlement of the RSUs and any share certificates that may subsequently be issued in substitution for the original certificates. The Company may advise the transfer agent to place a stop order against such Shares if it determines that such an order is necessary or advisable.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9.</w:t>
      </w:r>
    </w:p>
    <w:p>
      <w:pPr>
        <w:pStyle w:val="TextBody"/>
        <w:bidi w:val="0"/>
        <w:spacing w:before="0" w:after="240"/>
        <w:jc w:val="both"/>
        <w:rPr/>
      </w:pPr>
      <w:r>
        <w:rPr>
          <w:rFonts w:ascii="Times New Roman" w:hAnsi="Times New Roman"/>
          <w:color w:val="000000"/>
          <w:sz w:val="24"/>
          <w:u w:val="single"/>
        </w:rPr>
        <w:t>COMPLIANCE WITH LAW</w:t>
      </w:r>
      <w:r>
        <w:rPr>
          <w:rFonts w:ascii="Times New Roman" w:hAnsi="Times New Roman"/>
          <w:color w:val="000000"/>
          <w:sz w:val="24"/>
        </w:rPr>
        <w:t>. Any sale, assignment, transfer, pledge, mortgage, encumbrance or other disposition of Shares issued upon settlement of the RSUs (whether directly or indirectly, whether or not for value and whether or not voluntary) must be made in compliance with any applicable constitution, rule, regulation or policy of any of the exchanges, associations or other institutions with which the Company has membership or other privileges, and any applicable law, or applicable rule or regulation of any governmental agency, self-regulatory organization or state or federal regulatory body.</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10.</w:t>
      </w:r>
    </w:p>
    <w:p>
      <w:pPr>
        <w:pStyle w:val="TextBody"/>
        <w:bidi w:val="0"/>
        <w:spacing w:before="0" w:after="240"/>
        <w:jc w:val="both"/>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i/>
          <w:color w:val="000000"/>
          <w:sz w:val="24"/>
        </w:rPr>
        <w:t>No Right to Continued Employment or Service</w:t>
      </w:r>
      <w:r>
        <w:rPr>
          <w:rFonts w:ascii="Times New Roman" w:hAnsi="Times New Roman"/>
          <w:color w:val="000000"/>
          <w:sz w:val="24"/>
        </w:rPr>
        <w:t>. This Agreement shall not confer upon the Participant any right to continue in the employ or service of the Company or its Subsidiaries, including the Employer, or to be entitled to any remuneration or benefits not set forth in this Agreement or the Plan nor interfere with or limit the right of the Company or its Subsidiaries, including the Employer, to modify the terms of or terminate the Participant’s employment or service at any time.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i/>
          <w:color w:val="000000"/>
          <w:sz w:val="24"/>
        </w:rPr>
        <w:t>No Advice Regarding Grant</w:t>
      </w:r>
      <w:r>
        <w:rPr>
          <w:rFonts w:ascii="Times New Roman" w:hAnsi="Times New Roman"/>
          <w:color w:val="000000"/>
          <w:sz w:val="24"/>
        </w:rPr>
        <w:t>. The Company is not providing any tax, legal or financial advice, nor is the Company making any recommendations regarding the Participant’s participation in the Plan or acquisition or sale of the underlying Shares. The Participant is hereby advised to consult with his or her own personal tax, legal and financial advisors regarding his or her participation in the Plan before taking any action related to the Plan or the RSUs.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i/>
          <w:color w:val="000000"/>
          <w:sz w:val="24"/>
        </w:rPr>
        <w:t>Cancellation/Clawback</w:t>
      </w:r>
      <w:r>
        <w:rPr>
          <w:rFonts w:ascii="Times New Roman" w:hAnsi="Times New Roman"/>
          <w:color w:val="000000"/>
          <w:sz w:val="24"/>
        </w:rPr>
        <w:t xml:space="preserve">. The Participant hereby acknowledges and agrees that the Participant and the RSUs are subject to the terms and conditions of Section 19 of the Plan (regarding reduction, cancellation, forfeiture or recoupment of Awards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upon the occurrence of certain specified events) and that the Participant and the RSUs are or may be subject to the Slide Insurance Holdings, Inc. Compensation Recoupment Policy or any other clawback policy adopted by the Company (as applicable, a “</w:t>
      </w:r>
      <w:r>
        <w:rPr>
          <w:rFonts w:ascii="Times New Roman" w:hAnsi="Times New Roman"/>
          <w:b/>
          <w:color w:val="000000"/>
          <w:sz w:val="24"/>
        </w:rPr>
        <w:t>Clawback Policy</w:t>
      </w:r>
      <w:r>
        <w:rPr>
          <w:color w:val="000000"/>
        </w:rPr>
        <w:t>”</w:t>
      </w:r>
      <w:r>
        <w:rPr>
          <w:rFonts w:ascii="Times New Roman" w:hAnsi="Times New Roman"/>
          <w:color w:val="000000"/>
          <w:sz w:val="24"/>
        </w:rPr>
        <w:t>). In consideration of the grant of the RSUs under this Agreement, the Participant agrees that, to the extent that the Participant is or becomes covered by the Clawback Policy, the RSUs granted to the Participant pursuant to this Agreement and any Shares issued upon settlement thereof shall be subject to such Clawback Policy as may be in effect from time to time. In the event it is determined that any amounts granted, awarded, paid or otherwise provided to or earned by the Participant must be forfeited or reimbursed to the Company pursuant to any such Clawback Policy, the Participant agrees that the Participant will promptly take any action necessary to effectuate such forfeiture and/or reimbursement.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pPr>
      <w:r>
        <w:rPr>
          <w:rFonts w:ascii="Times New Roman" w:hAnsi="Times New Roman"/>
          <w:i/>
          <w:color w:val="000000"/>
          <w:sz w:val="24"/>
        </w:rPr>
        <w:t>Not Salary, Pensionable Earnings or Base Pay</w:t>
      </w:r>
      <w:r>
        <w:rPr>
          <w:rFonts w:ascii="Times New Roman" w:hAnsi="Times New Roman"/>
          <w:color w:val="000000"/>
          <w:sz w:val="24"/>
        </w:rPr>
        <w:t>. The Participant acknowledges that the RSUs shall not be included in or deemed to be a part of (i) salary, normal salary or other ordinary compensation, (ii) any definition of pensionable or other earnings (however defined) for the purpose of calculating any benefits payable to or on behalf of the Participant under any bonus, severance benefit, pension, retirement, termination or dismissal indemnity, retirement indemnity or other benefit arrangement of the Company or (iii) any calculation of base pay or regular pay for any purpose.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pPr>
      <w:r>
        <w:rPr>
          <w:rFonts w:ascii="Times New Roman" w:hAnsi="Times New Roman"/>
          <w:i/>
          <w:color w:val="000000"/>
          <w:sz w:val="24"/>
        </w:rPr>
        <w:t>Plan to Govern</w:t>
      </w:r>
      <w:r>
        <w:rPr>
          <w:rFonts w:ascii="Times New Roman" w:hAnsi="Times New Roman"/>
          <w:color w:val="000000"/>
          <w:sz w:val="24"/>
        </w:rPr>
        <w:t>. This Agreement and the rights of the Participant hereunder are subject to all of the terms and conditions of the Plan as the same may be amended from time to time, as well as to such rules and regulations as the Committee may adopt for the administration of the Plan.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pPr>
      <w:r>
        <w:rPr>
          <w:rFonts w:ascii="Times New Roman" w:hAnsi="Times New Roman"/>
          <w:i/>
          <w:color w:val="000000"/>
          <w:sz w:val="24"/>
        </w:rPr>
        <w:t>Amendment</w:t>
      </w:r>
      <w:r>
        <w:rPr>
          <w:rFonts w:ascii="Times New Roman" w:hAnsi="Times New Roman"/>
          <w:color w:val="000000"/>
          <w:sz w:val="24"/>
        </w:rPr>
        <w:t>. Subject to the restrictions set forth in the Plan, the Company may from time to time suspend, modify or amend this Agreement or the Plan. Subject to the Company’s rights pursuant to Sections 5(c), 15 and 20 of the Plan, no amendment of the Plan or this Agreement may, without the consent of the Participant, adversely affect the rights of the Participant in a material manner with respect to the RSUs granted pursuant to this Agreement.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(g)</w:t>
      </w:r>
    </w:p>
    <w:p>
      <w:pPr>
        <w:pStyle w:val="TextBody"/>
        <w:bidi w:val="0"/>
        <w:spacing w:before="0" w:after="240"/>
        <w:jc w:val="both"/>
        <w:rPr/>
      </w:pPr>
      <w:r>
        <w:rPr>
          <w:rFonts w:ascii="Times New Roman" w:hAnsi="Times New Roman"/>
          <w:i/>
          <w:color w:val="000000"/>
          <w:sz w:val="24"/>
        </w:rPr>
        <w:t>Severability</w:t>
      </w:r>
      <w:r>
        <w:rPr>
          <w:rFonts w:ascii="Times New Roman" w:hAnsi="Times New Roman"/>
          <w:color w:val="000000"/>
          <w:sz w:val="24"/>
        </w:rPr>
        <w:t>. In the event that any provision of this Agreement shall be held illegal or invalid for any reason, such illegality or invalidity shall not affect the remaining provisions of this Agreement, and this Agreement shall be construed and enforced as if the illegal or invalid provision had not been included.</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(h)</w:t>
      </w:r>
    </w:p>
    <w:p>
      <w:pPr>
        <w:pStyle w:val="TextBody"/>
        <w:bidi w:val="0"/>
        <w:spacing w:before="0" w:after="240"/>
        <w:jc w:val="both"/>
        <w:rPr/>
      </w:pPr>
      <w:r>
        <w:rPr>
          <w:rFonts w:ascii="Times New Roman" w:hAnsi="Times New Roman"/>
          <w:i/>
          <w:color w:val="000000"/>
          <w:sz w:val="24"/>
        </w:rPr>
        <w:t>Entire Agreement</w:t>
      </w:r>
      <w:r>
        <w:rPr>
          <w:rFonts w:ascii="Times New Roman" w:hAnsi="Times New Roman"/>
          <w:color w:val="000000"/>
          <w:sz w:val="24"/>
        </w:rPr>
        <w:t>. This Agreement and the Plan contain all of the understandings between the Company and the Participant concerning the RSUs granted hereunder and supersede all prior agreements and understandings.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both"/>
        <w:rPr/>
      </w:pPr>
      <w:r>
        <w:rPr>
          <w:rFonts w:ascii="Times New Roman" w:hAnsi="Times New Roman"/>
          <w:i/>
          <w:color w:val="000000"/>
          <w:sz w:val="24"/>
        </w:rPr>
        <w:t>Successors</w:t>
      </w:r>
      <w:r>
        <w:rPr>
          <w:rFonts w:ascii="Times New Roman" w:hAnsi="Times New Roman"/>
          <w:color w:val="000000"/>
          <w:sz w:val="24"/>
        </w:rPr>
        <w:t>. This Agreement shall be binding upon and inure to the benefit of any successor or successors of the Company and any person or persons who shall, upon the Participant’s death, acquire any rights hereunder in accordance with this Agreement or the Plan.</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(j)</w:t>
      </w:r>
    </w:p>
    <w:p>
      <w:pPr>
        <w:pStyle w:val="TextBody"/>
        <w:bidi w:val="0"/>
        <w:spacing w:before="0" w:after="240"/>
        <w:jc w:val="both"/>
        <w:rPr/>
      </w:pPr>
      <w:r>
        <w:rPr>
          <w:rFonts w:ascii="Times New Roman" w:hAnsi="Times New Roman"/>
          <w:i/>
          <w:color w:val="000000"/>
          <w:sz w:val="24"/>
        </w:rPr>
        <w:t>Governing Law</w:t>
      </w:r>
      <w:r>
        <w:rPr>
          <w:rFonts w:ascii="Times New Roman" w:hAnsi="Times New Roman"/>
          <w:color w:val="000000"/>
          <w:sz w:val="24"/>
        </w:rPr>
        <w:t>. To the extent not preempted by federal law, this Agreement shall be construed in accordance with and governed by the laws of the State of Delaware, without regard to any conflicts or choice of law, rule or principle that might otherwise refer the interpretation of the award to the substantive law of another jurisdiction.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(k)</w:t>
      </w:r>
    </w:p>
    <w:p>
      <w:pPr>
        <w:pStyle w:val="TextBody"/>
        <w:bidi w:val="0"/>
        <w:spacing w:before="0" w:after="240"/>
        <w:jc w:val="both"/>
        <w:rPr/>
      </w:pPr>
      <w:r>
        <w:rPr>
          <w:rFonts w:ascii="Times New Roman" w:hAnsi="Times New Roman"/>
          <w:i/>
          <w:color w:val="000000"/>
          <w:sz w:val="24"/>
        </w:rPr>
        <w:t>Compliance with Section 409A of the Internal Revenue Code</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left"/>
        <w:rPr/>
      </w:pPr>
      <w:r>
        <w:rPr>
          <w:rFonts w:ascii="Times New Roman" w:hAnsi="Times New Roman"/>
          <w:color w:val="000000"/>
          <w:sz w:val="24"/>
        </w:rPr>
        <w:t>The RSUs are intended to comply with, or be exempt from, Section 409A of the Internal Revenue Code of 1986 (“</w:t>
      </w:r>
      <w:r>
        <w:rPr>
          <w:rFonts w:ascii="Times New Roman" w:hAnsi="Times New Roman"/>
          <w:b/>
          <w:color w:val="000000"/>
          <w:sz w:val="24"/>
        </w:rPr>
        <w:t>Section 409A</w:t>
      </w:r>
      <w:r>
        <w:rPr>
          <w:color w:val="000000"/>
        </w:rPr>
        <w:t>”</w:t>
      </w:r>
      <w:r>
        <w:rPr>
          <w:rFonts w:ascii="Times New Roman" w:hAnsi="Times New Roman"/>
          <w:color w:val="000000"/>
          <w:sz w:val="24"/>
        </w:rPr>
        <w:t>) and shall be interpreted in accordance with Section 409A and treasury regulations and other interpretive guidance issued thereunder, including without limitation any such regulations or other guidance that may be issued after the Date of Grant. The Company reserves the right to modify the terms of this Agreement, including, without limitation, the payment provisions applicable to the RSUs, to the extent necessary or advisable to comply with Section 409A and reserves the right to make any changes to the RSUs so that the RSUs do not become deferred compensation under Section 409A.</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this Agreement, each amount to be paid or benefit to be provided shall be construed as a separate identified payment for purposes of Section 409A.</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 provision in the Plan or this Agreement to the contrary, if the Participant is a “specified employee” and a payment subject to Section 409A (and not excepted therefrom) to the Participant is due upon Termination of Service, such payment shall be delayed for a period of six (6) months after the date the Participant Separates from Service (or, if earlier, the death of the Participant). Any payment that would otherwise have been due or owing during such six-month period will be paid immediately following the end of the six-month period unless another compliant date is specified in the applicable agreement. If the RSUs include a “series of installment payments” (within the meaning of Treas. Reg. § 1.409A-2(b)(2)(iii)), the Participant’s right to such series of installment payments shall be treated as a right to a series of separate payments and not as a right to a single payment, and if the RSUs include “dividend equivalents” (within the meaning of Treas. Reg. § 1.409A-3(e)), the Participant’s right to such dividend equivalents shall be treated separately from the right to other amounts under the RSUs.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 provision of the Plan or this Agreement to the contrary, in no event shall the Company or its Subsidiaries be liable to the Participant on account of failure of the RSUs to (i) qualify for favorable U.S. or foreign tax treatment or (ii) avoid adverse tax treatment under U.S. or foreign law, including, without limitation, under Section 409A.</w:t>
      </w:r>
    </w:p>
    <w:p>
      <w:pPr>
        <w:pStyle w:val="Heading1"/>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slde-ex10_14.htm"/>
      <w:bookmarkStart w:id="38" w:name="kssldeex10_14"/>
      <w:bookmarkEnd w:id="37"/>
      <w:bookmarkEnd w:id="38"/>
      <w:r>
        <w:rPr>
          <w:rFonts w:ascii="Times New Roman" w:hAnsi="Times New Roman"/>
          <w:b/>
          <w:color w:val="000000"/>
          <w:sz w:val="20"/>
        </w:rPr>
        <w:t>Exhibit 10.14</w:t>
      </w:r>
      <w:r>
        <w:br w:type="page"/>
      </w:r>
    </w:p>
    <w:p>
      <w:pPr>
        <w:pStyle w:val="TextBody"/>
        <w:bidi w:val="0"/>
        <w:jc w:val="center"/>
        <w:rPr>
          <w:rFonts w:ascii="Times New Roman" w:hAnsi="Times New Roman"/>
          <w:sz w:val="20"/>
        </w:rPr>
      </w:pPr>
      <w:r>
        <w:rPr>
          <w:rFonts w:ascii="Times New Roman" w:hAnsi="Times New Roman"/>
          <w:b/>
          <w:caps/>
          <w:color w:val="000000"/>
          <w:sz w:val="24"/>
        </w:rPr>
        <w:t>Slide Insurance Holdings, Inc.</w:t>
      </w:r>
      <w:r>
        <w:rPr>
          <w:rFonts w:ascii="Times New Roman" w:hAnsi="Times New Roman"/>
          <w:b/>
          <w:color w:val="000000"/>
          <w:sz w:val="24"/>
        </w:rPr>
        <w:br/>
        <w:t>RESTRICTED SHARE UNIT AWARD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Restricted Share Unit Award Agreement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by and between Slide Insurance Holdings,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the participant whose name appears below (the “</w:t>
      </w:r>
      <w:r>
        <w:rPr>
          <w:rFonts w:ascii="Times New Roman" w:hAnsi="Times New Roman"/>
          <w:b/>
          <w:color w:val="000000"/>
          <w:sz w:val="24"/>
        </w:rPr>
        <w:t>Participant</w:t>
      </w:r>
      <w:r>
        <w:rPr>
          <w:rFonts w:ascii="Times New Roman" w:hAnsi="Times New Roman"/>
          <w:color w:val="000000"/>
          <w:sz w:val="20"/>
        </w:rPr>
        <w:t>”</w:t>
      </w:r>
      <w:r>
        <w:rPr>
          <w:rFonts w:ascii="Times New Roman" w:hAnsi="Times New Roman"/>
          <w:color w:val="000000"/>
          <w:sz w:val="24"/>
        </w:rPr>
        <w:t>) in order to set forth the terms and conditions of Restricted Share Units (the “</w:t>
      </w:r>
      <w:r>
        <w:rPr>
          <w:rFonts w:ascii="Times New Roman" w:hAnsi="Times New Roman"/>
          <w:b/>
          <w:color w:val="000000"/>
          <w:sz w:val="24"/>
        </w:rPr>
        <w:t>RSUs</w:t>
      </w:r>
      <w:r>
        <w:rPr>
          <w:rFonts w:ascii="Times New Roman" w:hAnsi="Times New Roman"/>
          <w:color w:val="000000"/>
          <w:sz w:val="20"/>
        </w:rPr>
        <w:t>”</w:t>
      </w:r>
      <w:r>
        <w:rPr>
          <w:rFonts w:ascii="Times New Roman" w:hAnsi="Times New Roman"/>
          <w:color w:val="000000"/>
          <w:sz w:val="24"/>
        </w:rPr>
        <w:t>) granted to the Participant under the Slide Insurance Holdings, Inc. 2025 Omnibus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w:t>
      </w:r>
    </w:p>
    <w:p>
      <w:pPr>
        <w:pStyle w:val="TextBody"/>
        <w:bidi w:val="0"/>
        <w:jc w:val="both"/>
        <w:rPr>
          <w:rFonts w:ascii="Times New Roman" w:hAnsi="Times New Roman"/>
          <w:sz w:val="20"/>
        </w:rPr>
      </w:pPr>
      <w:r>
        <w:rPr>
          <w:rFonts w:ascii="Times New Roman" w:hAnsi="Times New Roman"/>
          <w:b/>
          <w:color w:val="000000"/>
          <w:sz w:val="24"/>
        </w:rPr>
        <w:t>Participant’s Name: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Award Type: Performance RSUs</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Date of Grant”: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Number of RSUs:</w:t>
      </w:r>
      <w:r>
        <w:rPr>
          <w:rFonts w:ascii="Times New Roman" w:hAnsi="Times New Roman"/>
          <w:color w:val="000000"/>
          <w:sz w:val="20"/>
        </w:rPr>
        <w:t xml:space="preserve"> </w:t>
      </w:r>
    </w:p>
    <w:p>
      <w:pPr>
        <w:pStyle w:val="TextBody"/>
        <w:bidi w:val="0"/>
        <w:spacing w:before="280" w:after="283"/>
        <w:jc w:val="center"/>
        <w:rPr/>
      </w:pPr>
      <w:r>
        <w:rPr>
          <w:color w:val="000000"/>
          <w:u w:val="single"/>
        </w:rPr>
        <w:t>“</w:t>
      </w:r>
      <w:r>
        <w:rPr>
          <w:rFonts w:ascii="Times New Roman" w:hAnsi="Times New Roman"/>
          <w:b/>
          <w:color w:val="000000"/>
          <w:sz w:val="24"/>
          <w:u w:val="single"/>
        </w:rPr>
        <w:t>Vesting Schedule</w:t>
      </w:r>
      <w:r>
        <w:rPr>
          <w:rFonts w:ascii="Times New Roman" w:hAnsi="Times New Roman"/>
          <w:color w:val="000000"/>
          <w:sz w:val="20"/>
          <w:u w:val="single"/>
        </w:rPr>
        <w:t>”</w:t>
      </w:r>
    </w:p>
    <w:p>
      <w:pPr>
        <w:pStyle w:val="TextBody"/>
        <w:bidi w:val="0"/>
        <w:jc w:val="both"/>
        <w:rPr>
          <w:rFonts w:ascii="Times New Roman" w:hAnsi="Times New Roman"/>
          <w:color w:val="000000"/>
          <w:sz w:val="24"/>
        </w:rPr>
      </w:pPr>
      <w:r>
        <w:rPr>
          <w:rFonts w:ascii="Times New Roman" w:hAnsi="Times New Roman"/>
          <w:color w:val="000000"/>
          <w:sz w:val="24"/>
        </w:rPr>
        <w:t>Subject to Section 2 of the Terms and Conditions below, % of the RSUs shall vest on each date as listed below:</w:t>
      </w:r>
    </w:p>
    <w:p>
      <w:pPr>
        <w:pStyle w:val="TextBody"/>
        <w:bidi w:val="0"/>
        <w:jc w:val="both"/>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Performance RSU Award will vest in two separate tranches: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Vesting of RSUs is subject to the Grantee being continuously employed by the company through the achievement of each of the goals set forth above and any unvested portion of the RSUs granted will be forfeited on any termination of employment prior to such achievement;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achievement of the applicable premiums shall be determined by the Company’s Chief Executive Officer in his sole discretion;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performance goals may be prorated based on when the applicable product becomes available for sale (as determined by the Chief Executive Officer in his sole discretion);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Committee shall retain the right to deem the performance goals as having been achieved and accelerating the vesting of all or a portion of the RSU Award.</w:t>
      </w:r>
    </w:p>
    <w:p>
      <w:pPr>
        <w:pStyle w:val="TextBody"/>
        <w:bidi w:val="0"/>
        <w:spacing w:before="40" w:after="240"/>
        <w:jc w:val="both"/>
        <w:rPr/>
      </w:pPr>
      <w:r>
        <w:rPr/>
        <w:t> </w:t>
      </w:r>
    </w:p>
    <w:p>
      <w:pPr>
        <w:pStyle w:val="TextBody"/>
        <w:bidi w:val="0"/>
        <w:spacing w:before="40" w:after="240"/>
        <w:jc w:val="both"/>
        <w:rPr>
          <w:rFonts w:ascii="Times New Roman" w:hAnsi="Times New Roman"/>
          <w:color w:val="000000"/>
          <w:sz w:val="24"/>
        </w:rPr>
      </w:pPr>
      <w:r>
        <w:rPr>
          <w:rFonts w:ascii="Times New Roman" w:hAnsi="Times New Roman"/>
          <w:color w:val="000000"/>
          <w:sz w:val="24"/>
        </w:rPr>
        <w:t>Subject to the attached Terms and Conditions and the terms of the Plan, which are incorporated herein by reference, the Company hereby grants to the Participant, on the Date of Grant, the number of RSUs, with the Vesting Schedule as set forth above. Capitalized terms used but not otherwise defined herein or in the attached Terms and Conditions shall have the meanings ascribed to such terms in the Plan.</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Company has duly executed and delivered this Agreement as of the Date of Grant.</w:t>
      </w:r>
    </w:p>
    <w:tbl>
      <w:tblPr>
        <w:tblW w:w="6372" w:type="dxa"/>
        <w:jc w:val="left"/>
        <w:tblInd w:w="0" w:type="dxa"/>
        <w:tblLayout w:type="fixed"/>
        <w:tblCellMar>
          <w:top w:w="28" w:type="dxa"/>
          <w:left w:w="28" w:type="dxa"/>
          <w:bottom w:w="28" w:type="dxa"/>
          <w:right w:w="28" w:type="dxa"/>
        </w:tblCellMar>
      </w:tblPr>
      <w:tblGrid>
        <w:gridCol w:w="599"/>
        <w:gridCol w:w="3766"/>
        <w:gridCol w:w="146"/>
        <w:gridCol w:w="1861"/>
      </w:tblGrid>
      <w:tr>
        <w:trPr/>
        <w:tc>
          <w:tcPr>
            <w:tcW w:w="599"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43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4"/>
              </w:rPr>
            </w:pPr>
            <w:r>
              <w:rPr>
                <w:rFonts w:ascii="Times New Roman" w:hAnsi="Times New Roman"/>
                <w:b/>
                <w:caps/>
                <w:color w:val="000000"/>
                <w:sz w:val="24"/>
              </w:rPr>
              <w:t>Slide Insurance Holdings,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PARTICIPANT</w:t>
            </w:r>
          </w:p>
          <w:p>
            <w:pPr>
              <w:pStyle w:val="TableContents"/>
              <w:bidi w:val="0"/>
              <w:spacing w:before="0" w:after="283"/>
              <w:jc w:val="left"/>
              <w:rPr/>
            </w:pPr>
            <w:r>
              <w:rPr/>
              <w:t> </w:t>
            </w:r>
          </w:p>
        </w:tc>
      </w:tr>
      <w:tr>
        <w:trPr/>
        <w:tc>
          <w:tcPr>
            <w:tcW w:w="4365" w:type="dxa"/>
            <w:gridSpan w:val="2"/>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76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jc w:val="left"/>
              <w:rPr/>
            </w:pPr>
            <w:r>
              <w:rPr/>
              <w:t> </w:t>
            </w:r>
          </w:p>
          <w:p>
            <w:pPr>
              <w:pStyle w:val="TableContents"/>
              <w:pBdr>
                <w:bottom w:val="single" w:sz="4" w:space="1" w:color="000000"/>
              </w:pBdr>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Bruce Lucas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4"/>
        </w:rPr>
        <w:t>Slide Insurance Holdings, Inc.</w:t>
      </w:r>
      <w:r>
        <w:rPr>
          <w:rFonts w:ascii="Times New Roman" w:hAnsi="Times New Roman"/>
          <w:b/>
          <w:color w:val="000000"/>
          <w:sz w:val="24"/>
        </w:rPr>
        <w:br/>
        <w:t xml:space="preserve">2025 OMNIBUS INCENTIVE PLAN </w:t>
        <w:br/>
      </w:r>
      <w:r>
        <w:rPr>
          <w:rFonts w:ascii="Times New Roman" w:hAnsi="Times New Roman"/>
          <w:b/>
          <w:color w:val="000000"/>
          <w:sz w:val="24"/>
          <w:u w:val="single"/>
        </w:rPr>
        <w:t>Terms and Conditions of RSU Grant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both"/>
        <w:rPr/>
      </w:pPr>
      <w:r>
        <w:rPr>
          <w:rFonts w:ascii="Times New Roman" w:hAnsi="Times New Roman"/>
          <w:color w:val="000000"/>
          <w:sz w:val="24"/>
          <w:u w:val="single"/>
        </w:rPr>
        <w:t>GRANT OF RSUs</w:t>
      </w:r>
      <w:r>
        <w:rPr>
          <w:rFonts w:ascii="Times New Roman" w:hAnsi="Times New Roman"/>
          <w:color w:val="000000"/>
          <w:sz w:val="24"/>
        </w:rPr>
        <w:t>. The RSUs have been granted to the Participant as an incentive for the Participant to continue to provide services to the Company and its Subsidiaries, including any Subsidiary employing the Participant (the “</w:t>
      </w:r>
      <w:r>
        <w:rPr>
          <w:rFonts w:ascii="Times New Roman" w:hAnsi="Times New Roman"/>
          <w:b/>
          <w:color w:val="000000"/>
          <w:sz w:val="24"/>
        </w:rPr>
        <w:t>Employer</w:t>
      </w:r>
      <w:r>
        <w:rPr>
          <w:color w:val="000000"/>
        </w:rPr>
        <w:t>”</w:t>
      </w:r>
      <w:r>
        <w:rPr>
          <w:rFonts w:ascii="Times New Roman" w:hAnsi="Times New Roman"/>
          <w:color w:val="000000"/>
          <w:sz w:val="24"/>
        </w:rPr>
        <w:t>), and to align the Participant’s interests with those of the Company. Each RSU corresponds to one Share. Each RSU constitutes a contingent and unsecured promise by the Company to deliver one Share on the settlement date, as set forth in Section ‎‎3.</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both"/>
        <w:rPr/>
      </w:pPr>
      <w:r>
        <w:rPr>
          <w:rFonts w:ascii="Times New Roman" w:hAnsi="Times New Roman"/>
          <w:color w:val="000000"/>
          <w:sz w:val="24"/>
          <w:u w:val="single"/>
        </w:rPr>
        <w:t>VESTING; TERMINATION OF SERVICE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RSUs shall vest in accordance with the Vesting Schedule, subject to the Participant’s continuous service with the Company and its Subsidiaries through each applicable vesting date. Unless determined otherwise by the Committee, all unvested RSUs shall be immediately forfeited upon the Participant’s Termination of Service for any reason.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the Participant’s (i) Termination of Service by the Company or its Subsidiaries for Cause or (ii) breach of any restrictive covenants that the Participant is subject to with respect to the Company or its Subsidiaries, any outstanding RSUs, whether vested or unvested, shall be immediately forfeited for no consideration.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both"/>
        <w:rPr/>
      </w:pPr>
      <w:r>
        <w:rPr>
          <w:rFonts w:ascii="Times New Roman" w:hAnsi="Times New Roman"/>
          <w:color w:val="000000"/>
          <w:sz w:val="24"/>
          <w:u w:val="single"/>
        </w:rPr>
        <w:t>SETTLEMENT</w:t>
      </w:r>
      <w:r>
        <w:rPr>
          <w:rFonts w:ascii="Times New Roman" w:hAnsi="Times New Roman"/>
          <w:color w:val="000000"/>
          <w:sz w:val="24"/>
        </w:rPr>
        <w:t xml:space="preserve">. Except as otherwise set forth in the Plan, vested RSUs will be settled in Shares, and the Participant shall receive the number of Shares that corresponds to the number of RSUs that have become vested as of the applicable vesting date, which Shares shall be delivered as soon as practicable following the applicable vesting date, as determined in the Committee’s sole discretion, but in no event later than March 15 of the of the calendar year immediately following the year in which the RSUs vested.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both"/>
        <w:rPr/>
      </w:pPr>
      <w:r>
        <w:rPr>
          <w:rFonts w:ascii="Times New Roman" w:hAnsi="Times New Roman"/>
          <w:color w:val="000000"/>
          <w:sz w:val="24"/>
          <w:u w:val="single"/>
        </w:rPr>
        <w:t>DIVIDEND EQUIVALENT PAYMENTS</w:t>
      </w:r>
      <w:r>
        <w:rPr>
          <w:rFonts w:ascii="Times New Roman" w:hAnsi="Times New Roman"/>
          <w:color w:val="000000"/>
          <w:sz w:val="24"/>
        </w:rPr>
        <w:t>. RSUs will not entitle the Participant to any dividends with respect to the underlying Shares unless and until the RSUs are settled in Shares. Notwithstanding the foregoing, if any dividend is declared on Shares, the Participant shall receive a payment in the same amount as the dividend the Participant would have received if he or she held Shares in respect of his or her vested or unvested RSUs held but not previously forfeited immediately prior to the record date of the dividend (a “</w:t>
      </w:r>
      <w:r>
        <w:rPr>
          <w:rFonts w:ascii="Times New Roman" w:hAnsi="Times New Roman"/>
          <w:b/>
          <w:color w:val="000000"/>
          <w:sz w:val="24"/>
        </w:rPr>
        <w:t>Dividend Equivalent</w:t>
      </w:r>
      <w:r>
        <w:rPr>
          <w:color w:val="000000"/>
        </w:rPr>
        <w:t>”</w:t>
      </w:r>
      <w:r>
        <w:rPr>
          <w:rFonts w:ascii="Times New Roman" w:hAnsi="Times New Roman"/>
          <w:color w:val="000000"/>
          <w:sz w:val="24"/>
        </w:rPr>
        <w:t>). No such Dividend Equivalents will be paid to the Participant with respect to any RSU that is thereafter cancelled or forfeited prior to the applicable vesting date. The Committee will determine the form of payment in its sole discretion and may pay Dividend Equivalents in Shares, cash or a combination thereof. The Company will pay the Dividend Equivalents at such time when the corresponding RSUs settle.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5.</w:t>
      </w:r>
    </w:p>
    <w:p>
      <w:pPr>
        <w:pStyle w:val="TextBody"/>
        <w:bidi w:val="0"/>
        <w:spacing w:before="0" w:after="240"/>
        <w:jc w:val="both"/>
        <w:rPr/>
      </w:pPr>
      <w:r>
        <w:rPr>
          <w:rFonts w:ascii="Times New Roman" w:hAnsi="Times New Roman"/>
          <w:color w:val="000000"/>
          <w:sz w:val="24"/>
          <w:u w:val="single"/>
        </w:rPr>
        <w:t>NONTRANSFERABILITY</w:t>
      </w:r>
      <w:r>
        <w:rPr>
          <w:rFonts w:ascii="Times New Roman" w:hAnsi="Times New Roman"/>
          <w:color w:val="000000"/>
          <w:sz w:val="24"/>
        </w:rPr>
        <w:t xml:space="preserve">. No portion of the RSUs may be sold, assigned, transferred, encumbered, hypothecated, or pledged by the Participant unless and until payment is made in respect of vested RSUs in accordance with the provisions hereof and the Participant has become the holder of record of the vested Shares issuable hereunder, other than (i) to the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as a result of forfeiture of the RSUs as provided herein, (ii) by will or the applicable laws of descent and distribution or (iii) as otherwise provided by the Committee.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6.</w:t>
      </w:r>
    </w:p>
    <w:p>
      <w:pPr>
        <w:pStyle w:val="TextBody"/>
        <w:bidi w:val="0"/>
        <w:spacing w:before="0" w:after="240"/>
        <w:jc w:val="both"/>
        <w:rPr/>
      </w:pPr>
      <w:r>
        <w:rPr>
          <w:rFonts w:ascii="Times New Roman" w:hAnsi="Times New Roman"/>
          <w:color w:val="000000"/>
          <w:sz w:val="24"/>
          <w:u w:val="single"/>
        </w:rPr>
        <w:t>TAX AND WITHHOLDING</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rPr>
        <w:t>The Participant acknowledges that, regardless of any action taken by the Company or the Employer, the ultimate liability for all income tax, social insurance, payroll tax, fringe benefits tax, payment on account or other tax-related items related to the Participant’s participation in the Plan and legally applicable to the Participant (“</w:t>
      </w:r>
      <w:r>
        <w:rPr>
          <w:rFonts w:ascii="Times New Roman" w:hAnsi="Times New Roman"/>
          <w:b/>
          <w:color w:val="000000"/>
          <w:sz w:val="24"/>
        </w:rPr>
        <w:t>Tax-Related Items</w:t>
      </w:r>
      <w:r>
        <w:rPr>
          <w:color w:val="000000"/>
        </w:rPr>
        <w:t>”</w:t>
      </w:r>
      <w:r>
        <w:rPr>
          <w:rFonts w:ascii="Times New Roman" w:hAnsi="Times New Roman"/>
          <w:color w:val="000000"/>
          <w:sz w:val="24"/>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upon settlement of the RSUs and the receipt of any dividends and/or Dividend Equivalents;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any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at their discretion, to satisfy any applicable withholding obligations with regard to all Tax-Related Items in the manner determined by the Company and/or the Employer from time to time, which may include: (i) withholding from the Participant’s wages or other cash compensation paid to the Participant by the Company and/or the Employer; (ii) requiring the Participant to remit the aggregate amount of such Tax-Related Items to the Company in full, in cash or by check, bank draft or money order payable to the order of the Company or the Employer; (iii) through a procedure whereby the Participant delivers irrevocable instructions to a broker reasonably acceptable to the Committee to sell Shares obtained upon settlement of the Award and to deliver promptly to the Company an amount of the proceeds of such sale equal to the amount of the Tax-Related Items; (iv) by a “net settlement” under which the Company reduces the number of Shares issued on settlement of the RSUs by the number of Shares with an aggregate Fair Market Value that equals the amount of the Tax-Related Items; or (iv) any other method of withholding determined by the Company and permitted by applicable law.</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Depending on the withholding method, the Company and/or the Employer may withhold or account for the Tax-Related Items by considering minimum statutory withholding rates or other withholding rates, including maximum applicable rates in the Participant’s jurisdiction, in which case the Participant may receive a refund of any over-withheld amount in cash and will have no entitlement to the equivalent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Shares. If the obligation for Tax-Related Items is satisfied by withholding in Shares, for tax purposes, Participant will be deemed to have been issued the full number of Shares subject to the Award, notwithstanding that a number of Shares are held back solely for the purpose of satisfying the Tax-Related Items.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Finally,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the proceeds of the sale of Shares, if the Participant fails to comply with the Participant’s obligations in connection with the Tax-Related Items.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7.</w:t>
      </w:r>
    </w:p>
    <w:p>
      <w:pPr>
        <w:pStyle w:val="TextBody"/>
        <w:bidi w:val="0"/>
        <w:spacing w:before="0" w:after="240"/>
        <w:jc w:val="both"/>
        <w:rPr/>
      </w:pPr>
      <w:r>
        <w:rPr>
          <w:rFonts w:ascii="Times New Roman" w:hAnsi="Times New Roman"/>
          <w:color w:val="000000"/>
          <w:sz w:val="24"/>
          <w:u w:val="single"/>
        </w:rPr>
        <w:t>RIGHTS AS SHAREHOLDER</w:t>
      </w:r>
      <w:r>
        <w:rPr>
          <w:rFonts w:ascii="Times New Roman" w:hAnsi="Times New Roman"/>
          <w:color w:val="000000"/>
          <w:sz w:val="24"/>
        </w:rPr>
        <w:t>. The Participant will not have any rights as a shareholder in the Shares corresponding to the RSUs prior to settlement of the RSUs.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8.</w:t>
      </w:r>
    </w:p>
    <w:p>
      <w:pPr>
        <w:pStyle w:val="TextBody"/>
        <w:bidi w:val="0"/>
        <w:spacing w:before="0" w:after="240"/>
        <w:jc w:val="both"/>
        <w:rPr/>
      </w:pPr>
      <w:r>
        <w:rPr>
          <w:rFonts w:ascii="Times New Roman" w:hAnsi="Times New Roman"/>
          <w:color w:val="000000"/>
          <w:sz w:val="24"/>
          <w:u w:val="single"/>
        </w:rPr>
        <w:t>SECURITIES LAW COMPLIANCE</w:t>
      </w:r>
      <w:r>
        <w:rPr>
          <w:rFonts w:ascii="Times New Roman" w:hAnsi="Times New Roman"/>
          <w:color w:val="000000"/>
          <w:sz w:val="24"/>
        </w:rPr>
        <w:t>. The Company may, if it determines it is appropriate, affix any legend to the share certificates representing Shares issued upon settlement of the RSUs and any share certificates that may subsequently be issued in substitution for the original certificates. The Company may advise the transfer agent to place a stop order against such Shares if it determines that such an order is necessary or advisable.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9.</w:t>
      </w:r>
    </w:p>
    <w:p>
      <w:pPr>
        <w:pStyle w:val="TextBody"/>
        <w:bidi w:val="0"/>
        <w:spacing w:before="0" w:after="240"/>
        <w:jc w:val="both"/>
        <w:rPr/>
      </w:pPr>
      <w:r>
        <w:rPr>
          <w:rFonts w:ascii="Times New Roman" w:hAnsi="Times New Roman"/>
          <w:color w:val="000000"/>
          <w:sz w:val="24"/>
          <w:u w:val="single"/>
        </w:rPr>
        <w:t>COMPLIANCE WITH LAW</w:t>
      </w:r>
      <w:r>
        <w:rPr>
          <w:rFonts w:ascii="Times New Roman" w:hAnsi="Times New Roman"/>
          <w:color w:val="000000"/>
          <w:sz w:val="24"/>
        </w:rPr>
        <w:t>. Any sale, assignment, transfer, pledge, mortgage, encumbrance or other disposition of Shares issued upon settlement of the RSUs (whether directly or indirectly, whether or not for value and whether or not voluntary) must be made in compliance with any applicable constitution, rule, regulation or policy of any of the exchanges, associations or other institutions with which the Company has membership or other privileges, and any applicable law, or applicable rule or regulation of any governmental agency, self-regulatory organization or state or federal regulatory body.</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10.</w:t>
      </w:r>
    </w:p>
    <w:p>
      <w:pPr>
        <w:pStyle w:val="TextBody"/>
        <w:bidi w:val="0"/>
        <w:spacing w:before="0" w:after="240"/>
        <w:jc w:val="both"/>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i/>
          <w:color w:val="000000"/>
          <w:sz w:val="24"/>
        </w:rPr>
        <w:t>No Right to Continued Employment or Service</w:t>
      </w:r>
      <w:r>
        <w:rPr>
          <w:rFonts w:ascii="Times New Roman" w:hAnsi="Times New Roman"/>
          <w:color w:val="000000"/>
          <w:sz w:val="24"/>
        </w:rPr>
        <w:t>. This Agreement shall not confer upon the Participant any right to continue in the employ or service of the Company or its Subsidiaries, including the Employer, or to be entitled to any remuneration or benefits not set forth in this Agreement or the Plan nor interfere with or limit the right of the Company or its Subsidiaries, including the Employer, to modify the terms of or terminate the Participant’s employment or service at any time.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i/>
          <w:color w:val="000000"/>
          <w:sz w:val="24"/>
        </w:rPr>
        <w:t>No Advice Regarding Grant</w:t>
      </w:r>
      <w:r>
        <w:rPr>
          <w:rFonts w:ascii="Times New Roman" w:hAnsi="Times New Roman"/>
          <w:color w:val="000000"/>
          <w:sz w:val="24"/>
        </w:rPr>
        <w:t>. The Company is not providing any tax, legal or financial advice, nor is the Company making any recommendations regarding the Participant’s participation in the Plan or acquisition or sale of the underlying Shares. The Participant is hereby advised to consult with his or her own personal tax, legal and financial advisors regarding his or her participation in the Plan before taking any action related to the Plan or the RSUs.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i/>
          <w:color w:val="000000"/>
          <w:sz w:val="24"/>
        </w:rPr>
        <w:t>Cancellation/Clawback</w:t>
      </w:r>
      <w:r>
        <w:rPr>
          <w:rFonts w:ascii="Times New Roman" w:hAnsi="Times New Roman"/>
          <w:color w:val="000000"/>
          <w:sz w:val="24"/>
        </w:rPr>
        <w:t xml:space="preserve">. The Participant hereby acknowledges and agrees that the Participant and the RSUs are subject to the terms and conditions of Section 19 of the Plan (regarding reduction, cancellation, forfeiture or recoupment of Awards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upon the occurrence of certain specified events) and that the Participant and the RSUs are or may be subject to the Slide Insurance Holdings, Inc. Compensation Recoupment Policy or any other clawback policy adopted by the Company (as applicable, a “</w:t>
      </w:r>
      <w:r>
        <w:rPr>
          <w:rFonts w:ascii="Times New Roman" w:hAnsi="Times New Roman"/>
          <w:b/>
          <w:color w:val="000000"/>
          <w:sz w:val="24"/>
        </w:rPr>
        <w:t>Clawback Policy</w:t>
      </w:r>
      <w:r>
        <w:rPr>
          <w:color w:val="000000"/>
        </w:rPr>
        <w:t>”</w:t>
      </w:r>
      <w:r>
        <w:rPr>
          <w:rFonts w:ascii="Times New Roman" w:hAnsi="Times New Roman"/>
          <w:color w:val="000000"/>
          <w:sz w:val="24"/>
        </w:rPr>
        <w:t>). In consideration of the grant of the RSUs under this Agreement, the Participant agrees that, to the extent that the Participant is or becomes covered by the Clawback Policy, the RSUs granted to the Participant pursuant to this Agreement and any Shares issued upon settlement thereof shall be subject to such Clawback Policy as may be in effect from time to time. In the event it is determined that any amounts granted, awarded, paid or otherwise provided to or earned by the Participant must be forfeited or reimbursed to the Company pursuant to any such Clawback Policy, the Participant agrees that the Participant will promptly take any action necessary to effectuate such forfeiture and/or reimbursement.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pPr>
      <w:r>
        <w:rPr>
          <w:rFonts w:ascii="Times New Roman" w:hAnsi="Times New Roman"/>
          <w:i/>
          <w:color w:val="000000"/>
          <w:sz w:val="24"/>
        </w:rPr>
        <w:t>Not Salary, Pensionable Earnings or Base Pay</w:t>
      </w:r>
      <w:r>
        <w:rPr>
          <w:rFonts w:ascii="Times New Roman" w:hAnsi="Times New Roman"/>
          <w:color w:val="000000"/>
          <w:sz w:val="24"/>
        </w:rPr>
        <w:t>. The Participant acknowledges that the RSUs shall not be included in or deemed to be a part of (i) salary, normal salary or other ordinary compensation, (ii) any definition of pensionable or other earnings (however defined) for the purpose of calculating any benefits payable to or on behalf of the Participant under any bonus, severance benefit, pension, retirement, termination or dismissal indemnity, retirement indemnity or other benefit arrangement of the Company or (iii) any calculation of base pay or regular pay for any purpose.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pPr>
      <w:r>
        <w:rPr>
          <w:rFonts w:ascii="Times New Roman" w:hAnsi="Times New Roman"/>
          <w:i/>
          <w:color w:val="000000"/>
          <w:sz w:val="24"/>
        </w:rPr>
        <w:t>Plan to Govern</w:t>
      </w:r>
      <w:r>
        <w:rPr>
          <w:rFonts w:ascii="Times New Roman" w:hAnsi="Times New Roman"/>
          <w:color w:val="000000"/>
          <w:sz w:val="24"/>
        </w:rPr>
        <w:t>. This Agreement and the rights of the Participant hereunder are subject to all of the terms and conditions of the Plan as the same may be amended from time to time, as well as to such rules and regulations as the Committee may adopt for the administration of the Plan.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pPr>
      <w:r>
        <w:rPr>
          <w:rFonts w:ascii="Times New Roman" w:hAnsi="Times New Roman"/>
          <w:i/>
          <w:color w:val="000000"/>
          <w:sz w:val="24"/>
        </w:rPr>
        <w:t>Amendment</w:t>
      </w:r>
      <w:r>
        <w:rPr>
          <w:rFonts w:ascii="Times New Roman" w:hAnsi="Times New Roman"/>
          <w:color w:val="000000"/>
          <w:sz w:val="24"/>
        </w:rPr>
        <w:t>. Subject to the restrictions set forth in the Plan, the Company may from time to time suspend, modify or amend this Agreement or the Plan. Subject to the Company’s rights pursuant to Sections 5(c), 15 and 20 of the Plan, no amendment of the Plan or this Agreement may, without the consent of the Participant, adversely affect the rights of the Participant in a material manner with respect to the RSUs granted pursuant to this Agreement.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(g)</w:t>
      </w:r>
    </w:p>
    <w:p>
      <w:pPr>
        <w:pStyle w:val="TextBody"/>
        <w:bidi w:val="0"/>
        <w:spacing w:before="0" w:after="240"/>
        <w:jc w:val="both"/>
        <w:rPr/>
      </w:pPr>
      <w:r>
        <w:rPr>
          <w:rFonts w:ascii="Times New Roman" w:hAnsi="Times New Roman"/>
          <w:i/>
          <w:color w:val="000000"/>
          <w:sz w:val="24"/>
        </w:rPr>
        <w:t>Severability</w:t>
      </w:r>
      <w:r>
        <w:rPr>
          <w:rFonts w:ascii="Times New Roman" w:hAnsi="Times New Roman"/>
          <w:color w:val="000000"/>
          <w:sz w:val="24"/>
        </w:rPr>
        <w:t>. In the event that any provision of this Agreement shall be held illegal or invalid for any reason, such illegality or invalidity shall not affect the remaining provisions of this Agreement, and this Agreement shall be construed and enforced as if the illegal or invalid provision had not been included.</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(h)</w:t>
      </w:r>
    </w:p>
    <w:p>
      <w:pPr>
        <w:pStyle w:val="TextBody"/>
        <w:bidi w:val="0"/>
        <w:spacing w:before="0" w:after="240"/>
        <w:jc w:val="both"/>
        <w:rPr/>
      </w:pPr>
      <w:r>
        <w:rPr>
          <w:rFonts w:ascii="Times New Roman" w:hAnsi="Times New Roman"/>
          <w:i/>
          <w:color w:val="000000"/>
          <w:sz w:val="24"/>
        </w:rPr>
        <w:t>Entire Agreement</w:t>
      </w:r>
      <w:r>
        <w:rPr>
          <w:rFonts w:ascii="Times New Roman" w:hAnsi="Times New Roman"/>
          <w:color w:val="000000"/>
          <w:sz w:val="24"/>
        </w:rPr>
        <w:t>. This Agreement and the Plan contain all of the understandings between the Company and the Participant concerning the RSUs granted hereunder and supersede all prior agreements and understandings.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both"/>
        <w:rPr/>
      </w:pPr>
      <w:r>
        <w:rPr>
          <w:rFonts w:ascii="Times New Roman" w:hAnsi="Times New Roman"/>
          <w:i/>
          <w:color w:val="000000"/>
          <w:sz w:val="24"/>
        </w:rPr>
        <w:t>Successors</w:t>
      </w:r>
      <w:r>
        <w:rPr>
          <w:rFonts w:ascii="Times New Roman" w:hAnsi="Times New Roman"/>
          <w:color w:val="000000"/>
          <w:sz w:val="24"/>
        </w:rPr>
        <w:t>. This Agreement shall be binding upon and inure to the benefit of any successor or successors of the Company and any person or persons who shall, upon the Participant’s death, acquire any rights hereunder in accordance with this Agreement or the Plan.</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(j)</w:t>
      </w:r>
    </w:p>
    <w:p>
      <w:pPr>
        <w:pStyle w:val="TextBody"/>
        <w:bidi w:val="0"/>
        <w:spacing w:before="0" w:after="240"/>
        <w:jc w:val="both"/>
        <w:rPr/>
      </w:pPr>
      <w:r>
        <w:rPr>
          <w:rFonts w:ascii="Times New Roman" w:hAnsi="Times New Roman"/>
          <w:i/>
          <w:color w:val="000000"/>
          <w:sz w:val="24"/>
        </w:rPr>
        <w:t>Governing Law</w:t>
      </w:r>
      <w:r>
        <w:rPr>
          <w:rFonts w:ascii="Times New Roman" w:hAnsi="Times New Roman"/>
          <w:color w:val="000000"/>
          <w:sz w:val="24"/>
        </w:rPr>
        <w:t>. To the extent not preempted by federal law, this Agreement shall be construed in accordance with and governed by the laws of the State of Delaware, without regard to any conflicts or choice of law, rule or principle that might otherwise refer the interpretation of the award to the substantive law of another jurisdiction.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(k)</w:t>
      </w:r>
    </w:p>
    <w:p>
      <w:pPr>
        <w:pStyle w:val="TextBody"/>
        <w:bidi w:val="0"/>
        <w:spacing w:before="0" w:after="240"/>
        <w:jc w:val="both"/>
        <w:rPr/>
      </w:pPr>
      <w:r>
        <w:rPr>
          <w:rFonts w:ascii="Times New Roman" w:hAnsi="Times New Roman"/>
          <w:i/>
          <w:color w:val="000000"/>
          <w:sz w:val="24"/>
        </w:rPr>
        <w:t>Compliance with Section 409A of the Internal Revenue Code</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left"/>
        <w:rPr/>
      </w:pPr>
      <w:r>
        <w:rPr>
          <w:rFonts w:ascii="Times New Roman" w:hAnsi="Times New Roman"/>
          <w:color w:val="000000"/>
          <w:sz w:val="24"/>
        </w:rPr>
        <w:t>The RSUs are intended to comply with, or be exempt from, Section 409A of the Internal Revenue Code of 1986 (“</w:t>
      </w:r>
      <w:r>
        <w:rPr>
          <w:rFonts w:ascii="Times New Roman" w:hAnsi="Times New Roman"/>
          <w:b/>
          <w:color w:val="000000"/>
          <w:sz w:val="24"/>
        </w:rPr>
        <w:t>Section 409A</w:t>
      </w:r>
      <w:r>
        <w:rPr>
          <w:color w:val="000000"/>
        </w:rPr>
        <w:t>”</w:t>
      </w:r>
      <w:r>
        <w:rPr>
          <w:rFonts w:ascii="Times New Roman" w:hAnsi="Times New Roman"/>
          <w:color w:val="000000"/>
          <w:sz w:val="24"/>
        </w:rPr>
        <w:t>) and shall be interpreted in accordance with Section 409A and treasury regulations and other interpretive guidance issued thereunder, including without limitation any such regulations or other guidance that may be issued after the Date of Grant. The Company reserves the right to modify the terms of this Agreement, including, without limitation, the payment provisions applicable to the RSUs, to the extent necessary or advisable to comply with Section 409A and reserves the right to make any changes to the RSUs so that the RSUs do not become deferred compensation under Section 409A.</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this Agreement, each amount to be paid or benefit to be provided shall be construed as a separate identified payment for purposes of Section 409A.</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 provision in the Plan or this Agreement to the contrary, if the Participant is a “specified employee” and a payment subject to Section 409A (and not excepted therefrom) to the Participant is due upon Termination of Service, such payment shall be delayed for a period of six (6) months after the date the Participant Separates from Service (or, if earlier, the death of the Participant). Any payment that would otherwise have been due or owing during such six-month period will be paid immediately following the end of the six-month period unless another compliant date is specified in the applicable agreement. If the RSUs include a “series of installment payments” (within the meaning of Treas. Reg. § 1.409A-2(b)(2)(iii)), the Participant’s right to such series of installment payments shall be treated as a right to a series of separate payments and not as a right to a single payment, and if the RSUs include “dividend equivalents” (within the meaning of Treas. Reg. § 1.409A-3(e)), the Participant’s right to such dividend equivalents shall be treated separately from the right to other amounts under the RSUs.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 provision of the Plan or this Agreement to the contrary, in no event shall the Company or its Subsidiaries be liable to the Participant on account of failure of the RSUs to (i) qualify for favorable U.S. or foreign tax treatment or (ii) avoid adverse tax treatment under U.S. or foreign law, including, without limitation, under Section 409A.</w:t>
      </w:r>
    </w:p>
    <w:p>
      <w:pPr>
        <w:pStyle w:val="Heading1"/>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slde-ex19_1.htm"/>
      <w:bookmarkStart w:id="40" w:name="kssldeex19_1"/>
      <w:bookmarkEnd w:id="39"/>
      <w:bookmarkEnd w:id="40"/>
      <w:r>
        <w:rPr>
          <w:rFonts w:ascii="Times New Roman" w:hAnsi="Times New Roman"/>
          <w:b/>
          <w:color w:val="000000"/>
          <w:sz w:val="20"/>
        </w:rPr>
        <w:t>Exhibit 19.1</w:t>
      </w:r>
      <w:r>
        <w:br w:type="page"/>
      </w:r>
    </w:p>
    <w:p>
      <w:pPr>
        <w:pStyle w:val="TextBody"/>
        <w:bidi w:val="0"/>
        <w:spacing w:before="0" w:after="219"/>
        <w:jc w:val="center"/>
        <w:rPr>
          <w:rFonts w:ascii="Times New Roman" w:hAnsi="Times New Roman"/>
          <w:sz w:val="20"/>
        </w:rPr>
      </w:pPr>
      <w:r>
        <w:rPr>
          <w:rFonts w:ascii="Arial" w:hAnsi="Arial"/>
          <w:b/>
          <w:color w:val="181717"/>
          <w:sz w:val="21"/>
        </w:rPr>
        <w:t>SLIDE INSURANCE HOLDINGS, INC.</w:t>
      </w:r>
      <w:r>
        <w:rPr>
          <w:rFonts w:ascii="Times New Roman" w:hAnsi="Times New Roman"/>
          <w:color w:val="181717"/>
          <w:sz w:val="20"/>
        </w:rPr>
        <w:t xml:space="preserve"> </w:t>
      </w:r>
    </w:p>
    <w:p>
      <w:pPr>
        <w:pStyle w:val="TextBody"/>
        <w:bidi w:val="0"/>
        <w:spacing w:before="0" w:after="219"/>
        <w:jc w:val="center"/>
        <w:rPr>
          <w:rFonts w:ascii="Times New Roman" w:hAnsi="Times New Roman"/>
          <w:sz w:val="20"/>
        </w:rPr>
      </w:pPr>
      <w:r>
        <w:rPr>
          <w:rFonts w:ascii="Arial" w:hAnsi="Arial"/>
          <w:b/>
          <w:color w:val="181717"/>
          <w:sz w:val="21"/>
        </w:rPr>
        <w:t>Insider Trading Policy</w:t>
      </w:r>
      <w:r>
        <w:rPr>
          <w:rFonts w:ascii="Times New Roman" w:hAnsi="Times New Roman"/>
          <w:color w:val="181717"/>
          <w:sz w:val="20"/>
        </w:rPr>
        <w:t xml:space="preserve"> </w:t>
      </w:r>
    </w:p>
    <w:p>
      <w:pPr>
        <w:pStyle w:val="TextBody"/>
        <w:bidi w:val="0"/>
        <w:spacing w:before="0" w:after="8"/>
        <w:jc w:val="center"/>
        <w:rPr>
          <w:rFonts w:ascii="Times New Roman" w:hAnsi="Times New Roman"/>
          <w:sz w:val="20"/>
        </w:rPr>
      </w:pPr>
      <w:r>
        <w:rPr>
          <w:rFonts w:ascii="Arial" w:hAnsi="Arial"/>
          <w:color w:val="181717"/>
          <w:sz w:val="21"/>
        </w:rPr>
        <w:t>Adopted September 19, 2025</w:t>
      </w:r>
      <w:r>
        <w:rPr>
          <w:rFonts w:ascii="Times New Roman" w:hAnsi="Times New Roman"/>
          <w:color w:val="181717"/>
          <w:sz w:val="20"/>
        </w:rPr>
        <w:t xml:space="preserve"> </w:t>
      </w:r>
    </w:p>
    <w:p>
      <w:pPr>
        <w:pStyle w:val="TextBody"/>
        <w:bidi w:val="0"/>
        <w:spacing w:before="0" w:after="249"/>
        <w:jc w:val="left"/>
        <w:rPr>
          <w:rFonts w:ascii="Times New Roman" w:hAnsi="Times New Roman"/>
          <w:sz w:val="20"/>
        </w:rPr>
      </w:pPr>
      <w:r>
        <w:rPr>
          <w:rFonts w:ascii="Arial" w:hAnsi="Arial"/>
          <w:b/>
          <w:color w:val="181717"/>
          <w:sz w:val="21"/>
        </w:rPr>
        <w:t>I. Summary of Policy Concerning Trading in Company Securities</w:t>
      </w:r>
      <w:r>
        <w:rPr>
          <w:rFonts w:ascii="Times New Roman" w:hAnsi="Times New Roman"/>
          <w:color w:val="181717"/>
          <w:sz w:val="20"/>
        </w:rPr>
        <w:t xml:space="preserve"> </w:t>
      </w:r>
    </w:p>
    <w:p>
      <w:pPr>
        <w:pStyle w:val="Heading1"/>
        <w:bidi w:val="0"/>
        <w:jc w:val="left"/>
        <w:rPr>
          <w:rFonts w:ascii="Times New Roman" w:hAnsi="Times New Roman"/>
          <w:sz w:val="20"/>
        </w:rPr>
      </w:pPr>
      <w:r>
        <w:rPr>
          <w:rFonts w:ascii="Arial" w:hAnsi="Arial"/>
          <w:color w:val="181717"/>
          <w:sz w:val="21"/>
        </w:rPr>
        <w:t xml:space="preserve">A. </w:t>
      </w:r>
      <w:r>
        <w:rPr>
          <w:rFonts w:ascii="Arial" w:hAnsi="Arial"/>
          <w:i/>
          <w:color w:val="181717"/>
          <w:sz w:val="21"/>
        </w:rPr>
        <w:t>Restrictions on Trading in Company Securities</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It is Slide Insurance Holdings, Inc.’s (the “</w:t>
      </w:r>
      <w:r>
        <w:rPr>
          <w:rFonts w:ascii="Arial" w:hAnsi="Arial"/>
          <w:b/>
          <w:color w:val="181717"/>
          <w:sz w:val="21"/>
        </w:rPr>
        <w:t>Company</w:t>
      </w:r>
      <w:r>
        <w:rPr>
          <w:rFonts w:ascii="Times New Roman" w:hAnsi="Times New Roman"/>
          <w:color w:val="181717"/>
          <w:sz w:val="20"/>
        </w:rPr>
        <w:t>”</w:t>
      </w:r>
      <w:r>
        <w:rPr>
          <w:rFonts w:ascii="Arial" w:hAnsi="Arial"/>
          <w:color w:val="181717"/>
          <w:sz w:val="21"/>
        </w:rPr>
        <w:t>) policy that it will comply with all applicable laws and regulations in conducting its business. To avoid even an appearance of impropriety, the Company requires its directors, officers, employees and certain other persons listed below, or as designated by the Company from time to time, to comply with restrictions relating to their ability to enter into transactions involving the Company’s securities.</w:t>
      </w:r>
      <w:r>
        <w:rPr>
          <w:rFonts w:ascii="Times New Roman" w:hAnsi="Times New Roman"/>
          <w:color w:val="181717"/>
          <w:sz w:val="20"/>
        </w:rPr>
        <w:t xml:space="preserve"> </w:t>
      </w:r>
    </w:p>
    <w:p>
      <w:pPr>
        <w:pStyle w:val="TextBody"/>
        <w:bidi w:val="0"/>
        <w:spacing w:before="0" w:after="251"/>
        <w:jc w:val="left"/>
        <w:rPr>
          <w:rFonts w:ascii="Times New Roman" w:hAnsi="Times New Roman"/>
          <w:sz w:val="20"/>
        </w:rPr>
      </w:pPr>
      <w:r>
        <w:rPr>
          <w:rFonts w:ascii="Arial" w:hAnsi="Arial"/>
          <w:color w:val="181717"/>
          <w:sz w:val="21"/>
        </w:rPr>
        <w:t>Although some of these limitations do not apply to transactions effected pursuant to written plans for trading securities that comply with Rule 10b5-1 under the Securities Exchange Act of 1934, as amended (the “</w:t>
      </w:r>
      <w:r>
        <w:rPr>
          <w:rFonts w:ascii="Arial" w:hAnsi="Arial"/>
          <w:b/>
          <w:color w:val="181717"/>
          <w:sz w:val="21"/>
        </w:rPr>
        <w:t>Exchange Act</w:t>
      </w:r>
      <w:r>
        <w:rPr>
          <w:rFonts w:ascii="Times New Roman" w:hAnsi="Times New Roman"/>
          <w:color w:val="181717"/>
          <w:sz w:val="20"/>
        </w:rPr>
        <w:t>”</w:t>
      </w:r>
      <w:r>
        <w:rPr>
          <w:rFonts w:ascii="Arial" w:hAnsi="Arial"/>
          <w:color w:val="181717"/>
          <w:sz w:val="21"/>
        </w:rPr>
        <w:t>), it is the Company’s policy that the adoption, amendment, suspension or termination of any such written trading plan comply with the requirements, conditions, guidelines and other limitations as may be adopted by the Company from time to time.</w:t>
      </w:r>
      <w:r>
        <w:rPr>
          <w:rFonts w:ascii="Times New Roman" w:hAnsi="Times New Roman"/>
          <w:color w:val="181717"/>
          <w:sz w:val="20"/>
        </w:rPr>
        <w:t xml:space="preserve"> </w:t>
      </w:r>
    </w:p>
    <w:p>
      <w:pPr>
        <w:pStyle w:val="Heading1"/>
        <w:bidi w:val="0"/>
        <w:spacing w:before="0" w:after="224"/>
        <w:jc w:val="left"/>
        <w:rPr>
          <w:rFonts w:ascii="Times New Roman" w:hAnsi="Times New Roman"/>
          <w:sz w:val="20"/>
        </w:rPr>
      </w:pPr>
      <w:r>
        <w:rPr>
          <w:rFonts w:ascii="Arial" w:hAnsi="Arial"/>
          <w:color w:val="181717"/>
          <w:sz w:val="21"/>
        </w:rPr>
        <w:t xml:space="preserve">B. </w:t>
      </w:r>
      <w:r>
        <w:rPr>
          <w:rFonts w:ascii="Arial" w:hAnsi="Arial"/>
          <w:i/>
          <w:color w:val="181717"/>
          <w:sz w:val="21"/>
        </w:rPr>
        <w:t>Who is Subject to this Trading Policy</w:t>
      </w:r>
      <w:r>
        <w:rPr>
          <w:rFonts w:ascii="Times New Roman" w:hAnsi="Times New Roman"/>
          <w:color w:val="181717"/>
          <w:sz w:val="20"/>
        </w:rPr>
        <w:t xml:space="preserve"> </w:t>
      </w:r>
    </w:p>
    <w:p>
      <w:pPr>
        <w:pStyle w:val="TextBody"/>
        <w:bidi w:val="0"/>
        <w:jc w:val="both"/>
        <w:rPr>
          <w:rFonts w:ascii="Times New Roman" w:hAnsi="Times New Roman"/>
          <w:sz w:val="20"/>
        </w:rPr>
      </w:pPr>
      <w:r>
        <w:rPr>
          <w:rFonts w:ascii="Arial" w:hAnsi="Arial"/>
          <w:color w:val="181717"/>
          <w:sz w:val="21"/>
        </w:rPr>
        <w:t>Except where stated otherwise, this Trading Policy applies to the following individuals and entities, without regard to where they are located in the U.S. or internationally. We refer to these individuals and entities collectively as “Insiders”:</w:t>
      </w:r>
      <w:r>
        <w:rPr>
          <w:rFonts w:ascii="Times New Roman" w:hAnsi="Times New Roman"/>
          <w:color w:val="181717"/>
          <w:sz w:val="20"/>
        </w:rPr>
        <w:t xml:space="preserve">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directors, officers and employees of the Company and its subsidiaries,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contractors, consultants, and certain other persons who may gain access to Company inside information, </w:t>
      </w:r>
    </w:p>
    <w:p>
      <w:pPr>
        <w:pStyle w:val="TextBody"/>
        <w:bidi w:val="0"/>
        <w:spacing w:before="0" w:after="0"/>
        <w:jc w:val="left"/>
        <w:rPr>
          <w:color w:val="181717"/>
        </w:rPr>
      </w:pPr>
      <w:r>
        <w:rPr>
          <w:color w:val="181717"/>
        </w:rPr>
        <w:t>•</w:t>
      </w:r>
    </w:p>
    <w:p>
      <w:pPr>
        <w:pStyle w:val="TextBody"/>
        <w:bidi w:val="0"/>
        <w:spacing w:before="0" w:after="0"/>
        <w:jc w:val="left"/>
        <w:rPr/>
      </w:pPr>
      <w:r>
        <w:rPr>
          <w:rFonts w:ascii="Arial" w:hAnsi="Arial"/>
          <w:color w:val="181717"/>
          <w:sz w:val="21"/>
        </w:rPr>
        <w:t>the spouses, domestic partners, and minor children (even if financially independent) of such directors, officers or employees (collectively, “</w:t>
      </w:r>
      <w:r>
        <w:rPr>
          <w:rFonts w:ascii="Arial" w:hAnsi="Arial"/>
          <w:b/>
          <w:color w:val="181717"/>
          <w:sz w:val="21"/>
        </w:rPr>
        <w:t>Family Members</w:t>
      </w:r>
      <w:r>
        <w:rPr>
          <w:color w:val="181717"/>
        </w:rPr>
        <w:t>”</w:t>
      </w:r>
      <w:r>
        <w:rPr>
          <w:rFonts w:ascii="Arial" w:hAnsi="Arial"/>
          <w:color w:val="181717"/>
          <w:sz w:val="21"/>
        </w:rPr>
        <w:t xml:space="preserve">),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anyone to whom Company directors, officers or employees provide significant financial support, and </w:t>
      </w:r>
    </w:p>
    <w:p>
      <w:pPr>
        <w:pStyle w:val="TextBody"/>
        <w:bidi w:val="0"/>
        <w:spacing w:before="0" w:after="0"/>
        <w:jc w:val="left"/>
        <w:rPr>
          <w:color w:val="181717"/>
        </w:rPr>
      </w:pPr>
      <w:r>
        <w:rPr>
          <w:color w:val="181717"/>
        </w:rPr>
        <w:t>•</w:t>
      </w:r>
    </w:p>
    <w:p>
      <w:pPr>
        <w:pStyle w:val="TextBody"/>
        <w:bidi w:val="0"/>
        <w:jc w:val="left"/>
        <w:rPr>
          <w:rFonts w:ascii="Arial" w:hAnsi="Arial"/>
          <w:color w:val="181717"/>
          <w:sz w:val="21"/>
        </w:rPr>
      </w:pPr>
      <w:r>
        <w:rPr>
          <w:rFonts w:ascii="Arial" w:hAnsi="Arial"/>
          <w:color w:val="181717"/>
          <w:sz w:val="21"/>
        </w:rPr>
        <w:t xml:space="preserve">any entity or account over which the persons listed above have or share the power, directly or indirectly, to make investment decisions (whether or not such persons have a financial interest in the entity or account) and those entities or accounts established or maintained by such persons with their consent or knowledge and in which such persons have a direct or indirect financial interest, other than any blind trust that is approved by the Chief Executive Officer or the Chief Financial Officer. </w:t>
      </w:r>
    </w:p>
    <w:p>
      <w:pPr>
        <w:pStyle w:val="TextBody"/>
        <w:bidi w:val="0"/>
        <w:spacing w:before="0" w:after="228"/>
        <w:jc w:val="left"/>
        <w:rPr>
          <w:rFonts w:ascii="Times New Roman" w:hAnsi="Times New Roman"/>
          <w:sz w:val="20"/>
        </w:rPr>
      </w:pPr>
      <w:r>
        <w:rPr>
          <w:rFonts w:ascii="Arial" w:hAnsi="Arial"/>
          <w:color w:val="181717"/>
          <w:sz w:val="21"/>
        </w:rPr>
        <w:t>Because of their access to confidential information on a regular basis, Company policy subjects its directors, Section 16 Insiders (as defined below), the Chief Revenue Officer, Chief Actuary, Senior Vice President of Risk Management, Controller and certain employees of the Company as determined by the Chief Executive Officer from time to time (the “</w:t>
      </w:r>
      <w:r>
        <w:rPr>
          <w:rFonts w:ascii="Arial" w:hAnsi="Arial"/>
          <w:b/>
          <w:color w:val="181717"/>
          <w:sz w:val="21"/>
        </w:rPr>
        <w:t>Window Group</w:t>
      </w:r>
      <w:r>
        <w:rPr>
          <w:rFonts w:ascii="Times New Roman" w:hAnsi="Times New Roman"/>
          <w:color w:val="181717"/>
          <w:sz w:val="20"/>
        </w:rPr>
        <w:t>”</w:t>
      </w:r>
      <w:r>
        <w:rPr>
          <w:rFonts w:ascii="Arial" w:hAnsi="Arial"/>
          <w:color w:val="181717"/>
          <w:sz w:val="21"/>
        </w:rPr>
        <w:t>) to additional restrictions on trading in Company securities as discussed in section II.C. below. In addition, directors, officers and certain employees with knowledge of material nonpublic information may be subject to ad hoc restrictions on trading from time to time.</w:t>
      </w:r>
      <w:r>
        <w:rPr>
          <w:rFonts w:ascii="Times New Roman" w:hAnsi="Times New Roman"/>
          <w:color w:val="181717"/>
          <w:sz w:val="20"/>
        </w:rPr>
        <w:t xml:space="preserve"> </w:t>
      </w:r>
    </w:p>
    <w:p>
      <w:pPr>
        <w:pStyle w:val="TextBody"/>
        <w:bidi w:val="0"/>
        <w:spacing w:before="0" w:after="251"/>
        <w:jc w:val="left"/>
        <w:rPr>
          <w:rFonts w:ascii="Times New Roman" w:hAnsi="Times New Roman"/>
          <w:sz w:val="20"/>
        </w:rPr>
      </w:pPr>
      <w:r>
        <w:rPr>
          <w:rFonts w:ascii="Arial" w:hAnsi="Arial"/>
          <w:color w:val="181717"/>
          <w:sz w:val="21"/>
        </w:rPr>
        <w:t>Furthermore, the Company itself must comply with U.S. securities laws applicable to its own securities trading activities, and will not effect transactions in respect of its securities, or adopt any</w:t>
      </w:r>
      <w:r>
        <w:rPr>
          <w:rFonts w:ascii="Times New Roman" w:hAnsi="Times New Roman"/>
          <w:color w:val="181717"/>
          <w:sz w:val="20"/>
        </w:rPr>
        <w:t xml:space="preserve"> </w:t>
      </w:r>
    </w:p>
    <w:p>
      <w:pPr>
        <w:pStyle w:val="TextBody"/>
        <w:bidi w:val="0"/>
        <w:jc w:val="center"/>
        <w:rPr>
          <w:rFonts w:ascii="Times New Roman" w:hAnsi="Times New Roman"/>
          <w:sz w:val="20"/>
        </w:rPr>
      </w:pPr>
      <w:r>
        <w:rPr>
          <w:rFonts w:ascii="Arial" w:hAnsi="Arial"/>
          <w:color w:val="181717"/>
          <w:sz w:val="21"/>
        </w:rPr>
        <w:t>1</w:t>
      </w:r>
      <w:r>
        <w:rPr>
          <w:rFonts w:ascii="Times New Roman" w:hAnsi="Times New Roman"/>
          <w:color w:val="181717"/>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51"/>
        <w:jc w:val="left"/>
        <w:rPr>
          <w:rFonts w:ascii="Times New Roman" w:hAnsi="Times New Roman"/>
          <w:sz w:val="20"/>
        </w:rPr>
      </w:pPr>
      <w:r>
        <w:rPr>
          <w:rFonts w:ascii="Arial" w:hAnsi="Arial"/>
          <w:color w:val="181717"/>
          <w:sz w:val="21"/>
        </w:rPr>
        <w:t>securities repurchase plans, when it is in possession of material nonpublic information concerning the Company, other than in compliance with applicable law, subject to the policies and procedures adopted by the Company from time to time, and the prior approval of the Chief Executive Officer or the Chief Financial Officer.</w:t>
      </w:r>
      <w:r>
        <w:rPr>
          <w:rFonts w:ascii="Times New Roman" w:hAnsi="Times New Roman"/>
          <w:color w:val="181717"/>
          <w:sz w:val="20"/>
        </w:rPr>
        <w:t xml:space="preserve"> </w:t>
      </w:r>
    </w:p>
    <w:p>
      <w:pPr>
        <w:pStyle w:val="TextBody"/>
        <w:bidi w:val="0"/>
        <w:spacing w:before="0" w:after="249"/>
        <w:jc w:val="left"/>
        <w:rPr>
          <w:rFonts w:ascii="Times New Roman" w:hAnsi="Times New Roman"/>
          <w:sz w:val="20"/>
        </w:rPr>
      </w:pPr>
      <w:r>
        <w:rPr>
          <w:rFonts w:ascii="Arial" w:hAnsi="Arial"/>
          <w:b/>
          <w:color w:val="181717"/>
          <w:sz w:val="21"/>
        </w:rPr>
        <w:t>II. Prohibition on Trading in Securities While in Possession of Material Nonpublic Information</w:t>
      </w:r>
      <w:r>
        <w:rPr>
          <w:rFonts w:ascii="Times New Roman" w:hAnsi="Times New Roman"/>
          <w:color w:val="181717"/>
          <w:sz w:val="20"/>
        </w:rPr>
        <w:t xml:space="preserve"> </w:t>
      </w:r>
    </w:p>
    <w:p>
      <w:pPr>
        <w:pStyle w:val="Heading1"/>
        <w:bidi w:val="0"/>
        <w:spacing w:before="0" w:after="224"/>
        <w:jc w:val="left"/>
        <w:rPr>
          <w:rFonts w:ascii="Times New Roman" w:hAnsi="Times New Roman"/>
          <w:sz w:val="20"/>
        </w:rPr>
      </w:pPr>
      <w:r>
        <w:rPr>
          <w:rFonts w:ascii="Arial" w:hAnsi="Arial"/>
          <w:color w:val="181717"/>
          <w:sz w:val="21"/>
        </w:rPr>
        <w:t xml:space="preserve">A. </w:t>
      </w:r>
      <w:r>
        <w:rPr>
          <w:rFonts w:ascii="Arial" w:hAnsi="Arial"/>
          <w:i/>
          <w:color w:val="181717"/>
          <w:sz w:val="21"/>
        </w:rPr>
        <w:t>General Rule and What is Material</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U.S. federal securities laws prohibit the Company’s Insiders from using information about the Company in the purchase and sale of securities, such as the Company’s shares, bonds, notes, debentures, limited partnership units or other equity or debt securities.</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For example, if an employee of a company learns material nonpublic information through the course of their employment, such employee is prohibited from buying or selling securities (including the Company’s securities and the securities of other companies that could be impacted by the information) until the information has been adequately disclosed to the public. This is because the employee knows information that could cause the price of the security to change and has a duty to the Company not to use the information for personal gain. Trading on the basis of material nonpublic information is fraudulent and illegal. Civil and criminal penalties for this kind of activity are severe.</w:t>
      </w:r>
      <w:r>
        <w:rPr>
          <w:rFonts w:ascii="Times New Roman" w:hAnsi="Times New Roman"/>
          <w:color w:val="181717"/>
          <w:sz w:val="20"/>
        </w:rPr>
        <w:t xml:space="preserve"> </w:t>
      </w:r>
    </w:p>
    <w:p>
      <w:pPr>
        <w:pStyle w:val="TextBody"/>
        <w:bidi w:val="0"/>
        <w:spacing w:before="0" w:after="146"/>
        <w:jc w:val="left"/>
        <w:rPr>
          <w:rFonts w:ascii="Times New Roman" w:hAnsi="Times New Roman"/>
          <w:sz w:val="20"/>
        </w:rPr>
      </w:pPr>
      <w:r>
        <w:rPr>
          <w:rFonts w:ascii="Arial" w:hAnsi="Arial"/>
          <w:color w:val="181717"/>
          <w:sz w:val="21"/>
        </w:rPr>
        <w:t>Information is material if there is a substantial likelihood that a reasonable investor would consider it important in making an investment decision. Material information can be favorable or unfavorable. Courts and regulators often second-guess materiality determinations with the benefit of hindsight. If you have any uncertainty about whether information is material, you should consult with the Chief Executive Officer or the Chief Financial Officer and otherwise treat it as if it were material. Some examples of information that could be considered material include:</w:t>
      </w:r>
      <w:r>
        <w:rPr>
          <w:rFonts w:ascii="Times New Roman" w:hAnsi="Times New Roman"/>
          <w:color w:val="181717"/>
          <w:sz w:val="20"/>
        </w:rPr>
        <w:t xml:space="preserve">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significant changes in the Company’s prospects or key performance indicators,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actual, anticipated or targeted revenue, earnings, dividends and other financial information,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operational developments that could affect the Company’s financial performance or forecasts, such as changes in the Company’s relationship with a key reinsurer,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financial, sales and other significant internal business forecasts, or a change in previously released estimates,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pending or proposed mergers, business acquisitions, tender offers, joint ventures, restructurings, dispositions, or the expansion or curtailment of operations,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proposed equity or debt offerings or significant borrowing,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changes in debt ratings, or analyst upgrades or downgrades of the issuer or one of its securities,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significant changes in accounting treatment, write-offs or effective tax rate,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pending or threatened significant litigation or governmental investigation, or the resolution of such matters,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liquidity problems or impending bankruptcy, </w:t>
      </w:r>
    </w:p>
    <w:p>
      <w:pPr>
        <w:pStyle w:val="TextBody"/>
        <w:bidi w:val="0"/>
        <w:spacing w:before="0" w:after="0"/>
        <w:jc w:val="left"/>
        <w:rPr>
          <w:color w:val="181717"/>
        </w:rPr>
      </w:pPr>
      <w:r>
        <w:rPr>
          <w:color w:val="181717"/>
        </w:rPr>
        <w:t>•</w:t>
      </w:r>
    </w:p>
    <w:p>
      <w:pPr>
        <w:pStyle w:val="TextBody"/>
        <w:bidi w:val="0"/>
        <w:spacing w:before="0" w:after="0"/>
        <w:jc w:val="left"/>
        <w:rPr>
          <w:rFonts w:ascii="Arial" w:hAnsi="Arial"/>
          <w:color w:val="181717"/>
          <w:sz w:val="21"/>
        </w:rPr>
      </w:pPr>
      <w:r>
        <w:rPr>
          <w:rFonts w:ascii="Arial" w:hAnsi="Arial"/>
          <w:color w:val="181717"/>
          <w:sz w:val="21"/>
        </w:rPr>
        <w:t xml:space="preserve">auditor notification that the Company may no longer rely on an audit report, and </w:t>
      </w:r>
    </w:p>
    <w:p>
      <w:pPr>
        <w:pStyle w:val="TextBody"/>
        <w:bidi w:val="0"/>
        <w:spacing w:before="0" w:after="0"/>
        <w:jc w:val="left"/>
        <w:rPr>
          <w:color w:val="181717"/>
        </w:rPr>
      </w:pPr>
      <w:r>
        <w:rPr>
          <w:color w:val="181717"/>
        </w:rPr>
        <w:t>•</w:t>
      </w:r>
    </w:p>
    <w:p>
      <w:pPr>
        <w:pStyle w:val="TextBody"/>
        <w:bidi w:val="0"/>
        <w:jc w:val="left"/>
        <w:rPr>
          <w:rFonts w:ascii="Arial" w:hAnsi="Arial"/>
          <w:color w:val="181717"/>
          <w:sz w:val="21"/>
        </w:rPr>
      </w:pPr>
      <w:r>
        <w:rPr>
          <w:rFonts w:ascii="Arial" w:hAnsi="Arial"/>
          <w:color w:val="181717"/>
          <w:sz w:val="21"/>
        </w:rPr>
        <w:t xml:space="preserve">changes in control of the Company or stock splits or other corporate actions. </w:t>
      </w:r>
    </w:p>
    <w:p>
      <w:pPr>
        <w:pStyle w:val="TextBody"/>
        <w:bidi w:val="0"/>
        <w:spacing w:before="0" w:after="228"/>
        <w:jc w:val="left"/>
        <w:rPr>
          <w:rFonts w:ascii="Times New Roman" w:hAnsi="Times New Roman"/>
          <w:sz w:val="20"/>
        </w:rPr>
      </w:pPr>
      <w:r>
        <w:rPr>
          <w:rFonts w:ascii="Arial" w:hAnsi="Arial"/>
          <w:color w:val="181717"/>
          <w:sz w:val="21"/>
        </w:rPr>
        <w:t>In this Trading Policy, we use the term “nonpublic information” to refer to information that has not been publicly disclosed in a manner making it available to investors generally on a broad-based non-exclusionary basis (for example, the filing of a Form 8-K or issuance of a press release) and/or the investing public has not had time to fully absorb the information. If it is not clear whether material</w:t>
      </w:r>
      <w:r>
        <w:rPr>
          <w:rFonts w:ascii="Times New Roman" w:hAnsi="Times New Roman"/>
          <w:color w:val="181717"/>
          <w:sz w:val="20"/>
        </w:rPr>
        <w:t xml:space="preserve"> </w:t>
      </w:r>
    </w:p>
    <w:p>
      <w:pPr>
        <w:pStyle w:val="TextBody"/>
        <w:bidi w:val="0"/>
        <w:jc w:val="center"/>
        <w:rPr>
          <w:rFonts w:ascii="Arial" w:hAnsi="Arial"/>
          <w:color w:val="181717"/>
          <w:sz w:val="20"/>
        </w:rPr>
      </w:pPr>
      <w:r>
        <w:rPr>
          <w:rFonts w:ascii="Arial" w:hAnsi="Arial"/>
          <w:color w:val="181717"/>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28"/>
        <w:jc w:val="left"/>
        <w:rPr>
          <w:rFonts w:ascii="Times New Roman" w:hAnsi="Times New Roman"/>
          <w:sz w:val="20"/>
        </w:rPr>
      </w:pPr>
      <w:r>
        <w:rPr>
          <w:rFonts w:ascii="Arial" w:hAnsi="Arial"/>
          <w:color w:val="181717"/>
          <w:sz w:val="21"/>
        </w:rPr>
        <w:t>information has been sufficiently publicized, it should be treated as if it is nonpublic information. Furthermore, it is illegal for any Insider in possession of material nonpublic information to provide other people with such information or to recommend that they buy or sell the securities (this is called “tipping”). In that case, they may both be held liable.</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Information obtained through the course of employment or service as a director does not belong to individual Insiders who may handle it or otherwise become knowledgeable about it. Such information is an asset of the Company. Any person who uses such information for personal benefit or discloses it to others outside the Company without authorization violates confidentiality obligations to the Company and may be in breach of a fiduciary, loyalty or other duty to the Company. More particularly, trading on the basis of material nonpublic information harms the Company and its investors.</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The Securities and Exchange Commission (the “</w:t>
      </w:r>
      <w:r>
        <w:rPr>
          <w:rFonts w:ascii="Arial" w:hAnsi="Arial"/>
          <w:b/>
          <w:color w:val="181717"/>
          <w:sz w:val="21"/>
        </w:rPr>
        <w:t>SEC</w:t>
      </w:r>
      <w:r>
        <w:rPr>
          <w:rFonts w:ascii="Times New Roman" w:hAnsi="Times New Roman"/>
          <w:color w:val="181717"/>
          <w:sz w:val="20"/>
        </w:rPr>
        <w:t>”</w:t>
      </w:r>
      <w:r>
        <w:rPr>
          <w:rFonts w:ascii="Arial" w:hAnsi="Arial"/>
          <w:color w:val="181717"/>
          <w:sz w:val="21"/>
        </w:rPr>
        <w:t>), the Financial Industry Regulatory Authority (“</w:t>
      </w:r>
      <w:r>
        <w:rPr>
          <w:rFonts w:ascii="Arial" w:hAnsi="Arial"/>
          <w:b/>
          <w:color w:val="181717"/>
          <w:sz w:val="21"/>
        </w:rPr>
        <w:t>FINRA</w:t>
      </w:r>
      <w:r>
        <w:rPr>
          <w:rFonts w:ascii="Times New Roman" w:hAnsi="Times New Roman"/>
          <w:color w:val="181717"/>
          <w:sz w:val="20"/>
        </w:rPr>
        <w:t>”</w:t>
      </w:r>
      <w:r>
        <w:rPr>
          <w:rFonts w:ascii="Arial" w:hAnsi="Arial"/>
          <w:color w:val="181717"/>
          <w:sz w:val="21"/>
        </w:rPr>
        <w:t>), prosecutors and plaintiffs’ lawyers devote considerable resources to identifying insider trading. A breach of the insider trading laws could expose an insider or anyone who trades on information provided by an Insider to criminal fines and imprisonment, in addition to civil penalties and injunctive actions. Even if allegations of insider trading do not lead to a conviction, defending against such allegations is expensive. In addition, the mere perception that an Insider traded with the knowledge of material nonpublic information could harm the reputation of the Company and that Insider. Accordingly, this Trading Policy is in some cases more restrictive than what applicable insider trading laws might otherwise require.</w:t>
      </w:r>
      <w:r>
        <w:rPr>
          <w:rFonts w:ascii="Times New Roman" w:hAnsi="Times New Roman"/>
          <w:color w:val="181717"/>
          <w:sz w:val="20"/>
        </w:rPr>
        <w:t xml:space="preserve"> </w:t>
      </w:r>
    </w:p>
    <w:p>
      <w:pPr>
        <w:pStyle w:val="Heading1"/>
        <w:bidi w:val="0"/>
        <w:spacing w:before="0" w:after="224"/>
        <w:jc w:val="left"/>
        <w:rPr>
          <w:rFonts w:ascii="Times New Roman" w:hAnsi="Times New Roman"/>
          <w:sz w:val="20"/>
        </w:rPr>
      </w:pPr>
      <w:r>
        <w:rPr>
          <w:rFonts w:ascii="Arial" w:hAnsi="Arial"/>
          <w:color w:val="181717"/>
          <w:sz w:val="21"/>
        </w:rPr>
        <w:t xml:space="preserve">B. </w:t>
      </w:r>
      <w:r>
        <w:rPr>
          <w:rFonts w:ascii="Arial" w:hAnsi="Arial"/>
          <w:i/>
          <w:color w:val="181717"/>
          <w:sz w:val="21"/>
        </w:rPr>
        <w:t>Guidelines</w:t>
      </w:r>
      <w:r>
        <w:rPr>
          <w:rFonts w:ascii="Times New Roman" w:hAnsi="Times New Roman"/>
          <w:color w:val="181717"/>
          <w:sz w:val="20"/>
        </w:rPr>
        <w:t xml:space="preserve"> </w:t>
      </w:r>
    </w:p>
    <w:p>
      <w:pPr>
        <w:pStyle w:val="TextBody"/>
        <w:bidi w:val="0"/>
        <w:spacing w:before="0" w:after="249"/>
        <w:jc w:val="left"/>
        <w:rPr>
          <w:rFonts w:ascii="Times New Roman" w:hAnsi="Times New Roman"/>
          <w:sz w:val="20"/>
        </w:rPr>
      </w:pPr>
      <w:r>
        <w:rPr>
          <w:rFonts w:ascii="Arial" w:hAnsi="Arial"/>
          <w:color w:val="181717"/>
          <w:sz w:val="21"/>
        </w:rPr>
        <w:t>The following guidelines should be followed to ensure compliance with applicable insider trading, and other applicable, laws and with the Company’s policies:</w:t>
      </w:r>
      <w:r>
        <w:rPr>
          <w:rFonts w:ascii="Times New Roman" w:hAnsi="Times New Roman"/>
          <w:color w:val="181717"/>
          <w:sz w:val="20"/>
        </w:rPr>
        <w:t xml:space="preserve"> </w:t>
      </w:r>
    </w:p>
    <w:p>
      <w:pPr>
        <w:pStyle w:val="TextBody"/>
        <w:bidi w:val="0"/>
        <w:spacing w:before="0" w:after="0"/>
        <w:jc w:val="left"/>
        <w:rPr>
          <w:rFonts w:ascii="Arial" w:hAnsi="Arial"/>
          <w:color w:val="181717"/>
          <w:sz w:val="21"/>
        </w:rPr>
      </w:pPr>
      <w:r>
        <w:rPr>
          <w:rFonts w:ascii="Arial" w:hAnsi="Arial"/>
          <w:color w:val="181717"/>
          <w:sz w:val="21"/>
        </w:rPr>
        <w:t>1.</w:t>
      </w:r>
    </w:p>
    <w:p>
      <w:pPr>
        <w:pStyle w:val="TextBody"/>
        <w:bidi w:val="0"/>
        <w:jc w:val="left"/>
        <w:rPr/>
      </w:pPr>
      <w:r>
        <w:rPr>
          <w:rFonts w:ascii="Arial" w:hAnsi="Arial"/>
          <w:i/>
          <w:color w:val="181717"/>
          <w:sz w:val="21"/>
        </w:rPr>
        <w:t>Nondisclosure</w:t>
      </w:r>
      <w:r>
        <w:rPr>
          <w:rFonts w:ascii="Arial" w:hAnsi="Arial"/>
          <w:color w:val="181717"/>
          <w:sz w:val="21"/>
        </w:rPr>
        <w:t xml:space="preserve">. Material nonpublic information must not be disclosed to anyone, except to persons within the Company whose positions require them to know it, or with prior approval of the Chief Executive Officer or the Chief Financial Officer. No Insider should discuss material nonpublic information in public places or in common areas on, or off, Company property. </w:t>
      </w:r>
    </w:p>
    <w:p>
      <w:pPr>
        <w:pStyle w:val="TextBody"/>
        <w:bidi w:val="0"/>
        <w:spacing w:before="0" w:after="0"/>
        <w:jc w:val="left"/>
        <w:rPr>
          <w:rFonts w:ascii="Arial" w:hAnsi="Arial"/>
          <w:color w:val="181717"/>
          <w:sz w:val="21"/>
        </w:rPr>
      </w:pPr>
      <w:r>
        <w:rPr>
          <w:rFonts w:ascii="Arial" w:hAnsi="Arial"/>
          <w:color w:val="181717"/>
          <w:sz w:val="21"/>
        </w:rPr>
        <w:t>2.</w:t>
      </w:r>
    </w:p>
    <w:p>
      <w:pPr>
        <w:pStyle w:val="TextBody"/>
        <w:bidi w:val="0"/>
        <w:jc w:val="left"/>
        <w:rPr/>
      </w:pPr>
      <w:r>
        <w:rPr>
          <w:rFonts w:ascii="Arial" w:hAnsi="Arial"/>
          <w:i/>
          <w:color w:val="181717"/>
          <w:sz w:val="21"/>
        </w:rPr>
        <w:t>Trading in Company Securities</w:t>
      </w:r>
      <w:r>
        <w:rPr>
          <w:rFonts w:ascii="Arial" w:hAnsi="Arial"/>
          <w:color w:val="181717"/>
          <w:sz w:val="21"/>
        </w:rPr>
        <w:t xml:space="preserve">. No Insider may place a purchase or sale order, or recommend that another person place a purchase or sale order, in the Company’s securities when he or she has knowledge of material nonpublic information concerning the Company. This includes orders for purchases and sales of stock, convertible securities and other securities (e.g., bonds) and includes increasing or decreasing investment in Company securities through a retirement account. The exercise of employee stock options for cash is not subject to this Trading Policy. However, stock that was acquired upon exercise of a stock option will be treated like any other stock, and may not be sold by an employee who is in possession of material nonpublic information. Any Insider who possesses material nonpublic information should wait until after one full trading day after the information has been publicly released before trading. There is no exception to this Trading Policy, even for hardship to the </w:t>
      </w:r>
    </w:p>
    <w:p>
      <w:pPr>
        <w:pStyle w:val="TextBody"/>
        <w:bidi w:val="0"/>
        <w:spacing w:before="0" w:after="8"/>
        <w:jc w:val="center"/>
        <w:rPr>
          <w:rFonts w:ascii="Times New Roman" w:hAnsi="Times New Roman"/>
          <w:sz w:val="20"/>
        </w:rPr>
      </w:pPr>
      <w:r>
        <w:rPr>
          <w:rFonts w:ascii="Arial" w:hAnsi="Arial"/>
          <w:color w:val="181717"/>
          <w:sz w:val="21"/>
        </w:rPr>
        <w:t>Insider or based on the use of proceeds (such as making a mortgage payment or for an</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emergency expenditure).</w:t>
      </w:r>
      <w:r>
        <w:rPr>
          <w:rFonts w:ascii="Times New Roman" w:hAnsi="Times New Roman"/>
          <w:color w:val="181717"/>
          <w:sz w:val="20"/>
        </w:rPr>
        <w:t xml:space="preserve"> </w:t>
      </w:r>
    </w:p>
    <w:p>
      <w:pPr>
        <w:pStyle w:val="TextBody"/>
        <w:bidi w:val="0"/>
        <w:spacing w:before="0" w:after="251"/>
        <w:jc w:val="left"/>
        <w:rPr>
          <w:rFonts w:ascii="Arial" w:hAnsi="Arial"/>
          <w:color w:val="181717"/>
          <w:sz w:val="21"/>
        </w:rPr>
      </w:pPr>
      <w:r>
        <w:rPr>
          <w:rFonts w:ascii="Arial" w:hAnsi="Arial"/>
          <w:color w:val="181717"/>
          <w:sz w:val="21"/>
        </w:rPr>
        <w:t>3.</w:t>
      </w:r>
    </w:p>
    <w:p>
      <w:pPr>
        <w:pStyle w:val="TextBody"/>
        <w:bidi w:val="0"/>
        <w:spacing w:before="0" w:after="251"/>
        <w:jc w:val="left"/>
        <w:rPr/>
      </w:pPr>
      <w:r>
        <w:rPr>
          <w:rFonts w:ascii="Arial" w:hAnsi="Arial"/>
          <w:i/>
          <w:color w:val="181717"/>
          <w:sz w:val="21"/>
        </w:rPr>
        <w:t>Trading in Another Company’s Securities</w:t>
      </w:r>
      <w:r>
        <w:rPr>
          <w:rFonts w:ascii="Arial" w:hAnsi="Arial"/>
          <w:color w:val="181717"/>
          <w:sz w:val="21"/>
        </w:rPr>
        <w:t xml:space="preserve">. No Insider should place a purchase or sale order (including investment through a retirement account), or recommend </w:t>
      </w:r>
    </w:p>
    <w:p>
      <w:pPr>
        <w:pStyle w:val="TextBody"/>
        <w:bidi w:val="0"/>
        <w:jc w:val="center"/>
        <w:rPr>
          <w:rFonts w:ascii="Arial" w:hAnsi="Arial"/>
          <w:color w:val="181717"/>
          <w:sz w:val="20"/>
        </w:rPr>
      </w:pPr>
      <w:r>
        <w:rPr>
          <w:rFonts w:ascii="Arial" w:hAnsi="Arial"/>
          <w:color w:val="181717"/>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51"/>
        <w:jc w:val="left"/>
        <w:rPr/>
      </w:pPr>
      <w:r>
        <w:rPr>
          <w:rFonts w:ascii="Arial" w:hAnsi="Arial"/>
          <w:color w:val="181717"/>
          <w:sz w:val="21"/>
        </w:rPr>
        <w:t>that another person place a purchase or sale order, in the securities of another corporation, if the Insider learns, in the course of his or her employment or service as director, material nonpublic information that is likely to affect the value of those securities. For example, it would be a violation of the securities laws if a Company employee learned through his role at the Company that the Company intended to amend or terminate a material vendor or supplier contract and then placed an order to buy or sell stock in that vendor or supplier company because of the likely increase or decrease in the value of its securities.</w:t>
      </w:r>
      <w:r>
        <w:rPr>
          <w:color w:val="181717"/>
        </w:rPr>
        <w:t xml:space="preserve"> </w:t>
      </w:r>
    </w:p>
    <w:p>
      <w:pPr>
        <w:pStyle w:val="TextBody"/>
        <w:bidi w:val="0"/>
        <w:spacing w:before="0" w:after="0"/>
        <w:jc w:val="left"/>
        <w:rPr>
          <w:rFonts w:ascii="Arial" w:hAnsi="Arial"/>
          <w:color w:val="181717"/>
          <w:sz w:val="21"/>
        </w:rPr>
      </w:pPr>
      <w:r>
        <w:rPr>
          <w:rFonts w:ascii="Arial" w:hAnsi="Arial"/>
          <w:color w:val="181717"/>
          <w:sz w:val="21"/>
        </w:rPr>
        <w:t>4.</w:t>
      </w:r>
    </w:p>
    <w:p>
      <w:pPr>
        <w:pStyle w:val="TextBody"/>
        <w:bidi w:val="0"/>
        <w:jc w:val="left"/>
        <w:rPr/>
      </w:pPr>
      <w:r>
        <w:rPr>
          <w:rFonts w:ascii="Arial" w:hAnsi="Arial"/>
          <w:i/>
          <w:color w:val="181717"/>
          <w:sz w:val="21"/>
        </w:rPr>
        <w:t>Avoid Speculation</w:t>
      </w:r>
      <w:r>
        <w:rPr>
          <w:rFonts w:ascii="Arial" w:hAnsi="Arial"/>
          <w:color w:val="181717"/>
          <w:sz w:val="21"/>
        </w:rPr>
        <w:t xml:space="preserve">. Investing in the Company’s common stock or other securities provides an opportunity to share in the future growth of the Company. But investment in the Company and sharing in the growth of the Company does not mean short range speculation based on fluctuations in the market. Such activities put the personal gain of the Insider in conflict with the best interests of the Company and its stockholders. Although this Trading Policy does not mean that Insiders may never sell shares, the Company encourages Insiders to avoid frequent trading in Company stock. </w:t>
      </w:r>
    </w:p>
    <w:p>
      <w:pPr>
        <w:pStyle w:val="Heading1"/>
        <w:bidi w:val="0"/>
        <w:spacing w:before="0" w:after="224"/>
        <w:jc w:val="left"/>
        <w:rPr>
          <w:rFonts w:ascii="Times New Roman" w:hAnsi="Times New Roman"/>
          <w:sz w:val="20"/>
        </w:rPr>
      </w:pPr>
      <w:r>
        <w:rPr>
          <w:rFonts w:ascii="Arial" w:hAnsi="Arial"/>
          <w:color w:val="181717"/>
          <w:sz w:val="21"/>
        </w:rPr>
        <w:t xml:space="preserve">C. </w:t>
      </w:r>
      <w:r>
        <w:rPr>
          <w:rFonts w:ascii="Arial" w:hAnsi="Arial"/>
          <w:i/>
          <w:color w:val="181717"/>
          <w:sz w:val="21"/>
        </w:rPr>
        <w:t>Additional Restrictions on the Window Group</w:t>
      </w:r>
      <w:r>
        <w:rPr>
          <w:rFonts w:ascii="Times New Roman" w:hAnsi="Times New Roman"/>
          <w:color w:val="181717"/>
          <w:sz w:val="20"/>
        </w:rPr>
        <w:t xml:space="preserve"> </w:t>
      </w:r>
    </w:p>
    <w:p>
      <w:pPr>
        <w:pStyle w:val="TextBody"/>
        <w:bidi w:val="0"/>
        <w:spacing w:before="0" w:after="251"/>
        <w:jc w:val="left"/>
        <w:rPr>
          <w:rFonts w:ascii="Times New Roman" w:hAnsi="Times New Roman"/>
          <w:sz w:val="20"/>
        </w:rPr>
      </w:pPr>
      <w:r>
        <w:rPr>
          <w:rFonts w:ascii="Arial" w:hAnsi="Arial"/>
          <w:color w:val="181717"/>
          <w:sz w:val="21"/>
        </w:rPr>
        <w:t>The Window Group consists of (i) directors and executive officers of the Company and their assistants and Family Members, (ii) the Senior Vice President of Risk Management, (iii) the Chief Actuary, and (iv) such other persons as may be designated from time to time and informed of such status by the Company’s Chief Executive Officer or its Chief Financial Officer. The Window Group is subject to the following restrictions on trading in Company securities in addition to those set forth above:</w:t>
      </w:r>
      <w:r>
        <w:rPr>
          <w:rFonts w:ascii="Times New Roman" w:hAnsi="Times New Roman"/>
          <w:color w:val="181717"/>
          <w:sz w:val="20"/>
        </w:rPr>
        <w:t xml:space="preserve"> </w:t>
      </w:r>
    </w:p>
    <w:p>
      <w:pPr>
        <w:pStyle w:val="TextBody"/>
        <w:bidi w:val="0"/>
        <w:spacing w:before="0" w:after="249"/>
        <w:jc w:val="left"/>
        <w:rPr>
          <w:rFonts w:ascii="Arial" w:hAnsi="Arial"/>
          <w:color w:val="181717"/>
          <w:sz w:val="21"/>
        </w:rPr>
      </w:pPr>
      <w:r>
        <w:rPr>
          <w:rFonts w:ascii="Arial" w:hAnsi="Arial"/>
          <w:color w:val="181717"/>
          <w:sz w:val="21"/>
        </w:rPr>
        <w:t>1.</w:t>
      </w:r>
    </w:p>
    <w:p>
      <w:pPr>
        <w:pStyle w:val="TextBody"/>
        <w:bidi w:val="0"/>
        <w:spacing w:before="0" w:after="249"/>
        <w:jc w:val="left"/>
        <w:rPr/>
      </w:pPr>
      <w:r>
        <w:rPr>
          <w:rFonts w:ascii="Arial" w:hAnsi="Arial"/>
          <w:i/>
          <w:color w:val="181717"/>
          <w:sz w:val="21"/>
        </w:rPr>
        <w:t>Trading Window</w:t>
      </w:r>
      <w:r>
        <w:rPr>
          <w:rFonts w:ascii="Arial" w:hAnsi="Arial"/>
          <w:color w:val="181717"/>
          <w:sz w:val="21"/>
        </w:rPr>
        <w:t>. Trading is permitted after the completion of one full trading day following an earnings release with respect to the preceding fiscal period until the fifteenth calendar day of the last month of the then current fiscal quarter (the “</w:t>
      </w:r>
      <w:r>
        <w:rPr>
          <w:rFonts w:ascii="Arial" w:hAnsi="Arial"/>
          <w:b/>
          <w:color w:val="181717"/>
          <w:sz w:val="21"/>
        </w:rPr>
        <w:t>Window</w:t>
      </w:r>
      <w:r>
        <w:rPr>
          <w:color w:val="181717"/>
        </w:rPr>
        <w:t>”</w:t>
      </w:r>
      <w:r>
        <w:rPr>
          <w:rFonts w:ascii="Arial" w:hAnsi="Arial"/>
          <w:color w:val="181717"/>
          <w:sz w:val="21"/>
        </w:rPr>
        <w:t xml:space="preserve">). No trading is permitted outside a Window except with prior approval by the Chief Executive Officer and the Chief Financial Officer; </w:t>
      </w:r>
      <w:r>
        <w:rPr>
          <w:rFonts w:ascii="Arial" w:hAnsi="Arial"/>
          <w:i/>
          <w:color w:val="181717"/>
          <w:sz w:val="21"/>
        </w:rPr>
        <w:t xml:space="preserve">provided </w:t>
      </w:r>
      <w:r>
        <w:rPr>
          <w:rFonts w:ascii="Arial" w:hAnsi="Arial"/>
          <w:color w:val="181717"/>
          <w:sz w:val="21"/>
        </w:rPr>
        <w:t xml:space="preserve">that, if one of these individuals wishes to trade outside a Window, it shall be subject to prior approval by the other. </w:t>
      </w:r>
    </w:p>
    <w:p>
      <w:pPr>
        <w:pStyle w:val="TextBody"/>
        <w:bidi w:val="0"/>
        <w:spacing w:before="0" w:after="0"/>
        <w:jc w:val="left"/>
        <w:rPr>
          <w:rFonts w:ascii="Arial" w:hAnsi="Arial"/>
          <w:color w:val="181717"/>
          <w:sz w:val="21"/>
        </w:rPr>
      </w:pPr>
      <w:r>
        <w:rPr>
          <w:rFonts w:ascii="Arial" w:hAnsi="Arial"/>
          <w:color w:val="181717"/>
          <w:sz w:val="21"/>
        </w:rPr>
        <w:t>2.</w:t>
      </w:r>
    </w:p>
    <w:p>
      <w:pPr>
        <w:pStyle w:val="TextBody"/>
        <w:bidi w:val="0"/>
        <w:jc w:val="left"/>
        <w:rPr/>
      </w:pPr>
      <w:r>
        <w:rPr>
          <w:rFonts w:ascii="Arial" w:hAnsi="Arial"/>
          <w:i/>
          <w:color w:val="181717"/>
          <w:sz w:val="21"/>
        </w:rPr>
        <w:t>Closing of Trading Window</w:t>
      </w:r>
      <w:r>
        <w:rPr>
          <w:rFonts w:ascii="Arial" w:hAnsi="Arial"/>
          <w:color w:val="181717"/>
          <w:sz w:val="21"/>
        </w:rPr>
        <w:t xml:space="preserve">. From time to time, the Chief Executive Officer or the Chief Financial Officer may determine that no trades may occur even during a Window when clearance is requested. This may occur as a result of a material development that has not yet been publicly disclosed. No reasons may be provided, and the closing of a Window may itself constitute material nonpublic information that should not be communicated. </w:t>
      </w:r>
    </w:p>
    <w:p>
      <w:pPr>
        <w:pStyle w:val="TextBody"/>
        <w:bidi w:val="0"/>
        <w:spacing w:before="0" w:after="228"/>
        <w:jc w:val="left"/>
        <w:rPr>
          <w:rFonts w:ascii="Arial" w:hAnsi="Arial"/>
          <w:color w:val="181717"/>
          <w:sz w:val="21"/>
        </w:rPr>
      </w:pPr>
      <w:r>
        <w:rPr>
          <w:rFonts w:ascii="Arial" w:hAnsi="Arial"/>
          <w:color w:val="181717"/>
          <w:sz w:val="21"/>
        </w:rPr>
        <w:t>3.</w:t>
      </w:r>
    </w:p>
    <w:p>
      <w:pPr>
        <w:pStyle w:val="TextBody"/>
        <w:bidi w:val="0"/>
        <w:spacing w:before="0" w:after="228"/>
        <w:jc w:val="left"/>
        <w:rPr/>
      </w:pPr>
      <w:r>
        <w:rPr>
          <w:rFonts w:ascii="Arial" w:hAnsi="Arial"/>
          <w:i/>
          <w:color w:val="181717"/>
          <w:sz w:val="21"/>
        </w:rPr>
        <w:t>Pre-Clearance</w:t>
      </w:r>
      <w:r>
        <w:rPr>
          <w:rFonts w:ascii="Arial" w:hAnsi="Arial"/>
          <w:color w:val="181717"/>
          <w:sz w:val="21"/>
        </w:rPr>
        <w:t xml:space="preserve">. All trades by the Window Group are subject to prior review and clearance by the Chief Executive Officer or the Chief Financial Officer. Notwithstanding pre-clearance, every person is individually responsible for their compliance with this Trading Policy and with applicable insider trading laws. </w:t>
      </w:r>
    </w:p>
    <w:p>
      <w:pPr>
        <w:pStyle w:val="TextBody"/>
        <w:bidi w:val="0"/>
        <w:jc w:val="left"/>
        <w:rPr>
          <w:rFonts w:ascii="Times New Roman" w:hAnsi="Times New Roman"/>
          <w:sz w:val="20"/>
        </w:rPr>
      </w:pPr>
      <w:r>
        <w:rPr>
          <w:rFonts w:ascii="Arial" w:hAnsi="Arial"/>
          <w:color w:val="181717"/>
          <w:sz w:val="21"/>
        </w:rPr>
        <w:t>The foregoing Window Group restrictions do not apply to transactions pursuant to written plans for trading securities that comply with Rule 10b5-1 under the Exchange Act (“</w:t>
      </w:r>
      <w:r>
        <w:rPr>
          <w:rFonts w:ascii="Arial" w:hAnsi="Arial"/>
          <w:b/>
          <w:color w:val="181717"/>
          <w:sz w:val="21"/>
        </w:rPr>
        <w:t>10b5-1 Plans</w:t>
      </w:r>
      <w:r>
        <w:rPr>
          <w:rFonts w:ascii="Times New Roman" w:hAnsi="Times New Roman"/>
          <w:color w:val="181717"/>
          <w:sz w:val="20"/>
        </w:rPr>
        <w:t>”</w:t>
      </w:r>
      <w:r>
        <w:rPr>
          <w:rFonts w:ascii="Arial" w:hAnsi="Arial"/>
          <w:color w:val="181717"/>
          <w:sz w:val="21"/>
        </w:rPr>
        <w:t>). However, Window Group members may not enter into, amend or terminate a 10b5- 1 Plan relating to Company securities without the prior approval of the Chief Executive Officer or the Chief Financial Officer, which will only be given during a Window period and only if the Window Group member does not have knowledge of material nonpublic information.</w:t>
      </w:r>
      <w:r>
        <w:rPr>
          <w:rFonts w:ascii="Times New Roman" w:hAnsi="Times New Roman"/>
          <w:color w:val="181717"/>
          <w:sz w:val="20"/>
        </w:rPr>
        <w:t xml:space="preserve"> </w:t>
      </w:r>
    </w:p>
    <w:p>
      <w:pPr>
        <w:pStyle w:val="TextBody"/>
        <w:bidi w:val="0"/>
        <w:jc w:val="center"/>
        <w:rPr>
          <w:rFonts w:ascii="Arial" w:hAnsi="Arial"/>
          <w:color w:val="181717"/>
          <w:sz w:val="20"/>
        </w:rPr>
      </w:pPr>
      <w:r>
        <w:rPr>
          <w:rFonts w:ascii="Arial" w:hAnsi="Arial"/>
          <w:color w:val="181717"/>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0" w:after="224"/>
        <w:jc w:val="left"/>
        <w:rPr>
          <w:rFonts w:ascii="Times New Roman" w:hAnsi="Times New Roman"/>
          <w:sz w:val="20"/>
        </w:rPr>
      </w:pPr>
      <w:r>
        <w:rPr>
          <w:rFonts w:ascii="Arial" w:hAnsi="Arial"/>
          <w:color w:val="181717"/>
          <w:sz w:val="21"/>
        </w:rPr>
        <w:t xml:space="preserve">D. </w:t>
      </w:r>
      <w:r>
        <w:rPr>
          <w:rFonts w:ascii="Arial" w:hAnsi="Arial"/>
          <w:i/>
          <w:color w:val="181717"/>
          <w:sz w:val="21"/>
        </w:rPr>
        <w:t>Hedging and Derivatives</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Insiders are prohibited from engaging in any derivative transactions (including transactions involving options, puts, calls, prepaid variable forward contracts, equity swaps, collars or other derivatives) that are designed to hedge or speculate on any change in the market value of the Company’s equity securities. As discussed below, Insiders are also prohibited from shorting the Company’s securities.</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Trading in options or other derivatives is generally highly speculative and very risky. People who buy options are betting that the stock price will move rapidly. For that reason, when a person trades in options in his or her employer’s stock, it may arouse suspicion in the eyes of the SEC that the person was trading on the basis of material nonpublic information, particularly where the trading occurs before a company announcement or major event. It is difficult for a director, officer or employee to prove that he or she did not know about the announcement or event.</w:t>
      </w:r>
      <w:r>
        <w:rPr>
          <w:rFonts w:ascii="Times New Roman" w:hAnsi="Times New Roman"/>
          <w:color w:val="181717"/>
          <w:sz w:val="20"/>
        </w:rPr>
        <w:t xml:space="preserve"> </w:t>
      </w:r>
    </w:p>
    <w:p>
      <w:pPr>
        <w:pStyle w:val="TextBody"/>
        <w:bidi w:val="0"/>
        <w:jc w:val="left"/>
        <w:rPr>
          <w:rFonts w:ascii="Times New Roman" w:hAnsi="Times New Roman"/>
          <w:sz w:val="20"/>
        </w:rPr>
      </w:pPr>
      <w:r>
        <w:rPr>
          <w:rFonts w:ascii="Arial" w:hAnsi="Arial"/>
          <w:color w:val="181717"/>
          <w:sz w:val="21"/>
        </w:rPr>
        <w:t>If the SEC or FINRA were to notice active options trading by one or more directors, officers or employees of the Company prior to an announcement, they would likely investigate. Such an investigation could result in severe penalties and expenses for the Company and persons involved. For these reasons, the Company prohibits Insiders from engaging in derivative transactions as described above involving the Company’s stock. This policy does not apply to employee stock options granted by the Company, which cannot be traded.</w:t>
      </w:r>
      <w:r>
        <w:rPr>
          <w:rFonts w:ascii="Times New Roman" w:hAnsi="Times New Roman"/>
          <w:color w:val="181717"/>
          <w:sz w:val="20"/>
        </w:rPr>
        <w:t xml:space="preserve"> </w:t>
      </w:r>
    </w:p>
    <w:p>
      <w:pPr>
        <w:pStyle w:val="Heading1"/>
        <w:bidi w:val="0"/>
        <w:spacing w:before="0" w:after="224"/>
        <w:jc w:val="left"/>
        <w:rPr>
          <w:rFonts w:ascii="Times New Roman" w:hAnsi="Times New Roman"/>
          <w:sz w:val="20"/>
        </w:rPr>
      </w:pPr>
      <w:r>
        <w:rPr>
          <w:rFonts w:ascii="Arial" w:hAnsi="Arial"/>
          <w:color w:val="181717"/>
          <w:sz w:val="21"/>
        </w:rPr>
        <w:t xml:space="preserve">E. </w:t>
      </w:r>
      <w:r>
        <w:rPr>
          <w:rFonts w:ascii="Arial" w:hAnsi="Arial"/>
          <w:i/>
          <w:color w:val="181717"/>
          <w:sz w:val="21"/>
        </w:rPr>
        <w:t>Pledging of Securities, Margin Accounts</w:t>
      </w:r>
      <w:r>
        <w:rPr>
          <w:rFonts w:ascii="Times New Roman" w:hAnsi="Times New Roman"/>
          <w:color w:val="181717"/>
          <w:sz w:val="20"/>
        </w:rPr>
        <w:t xml:space="preserve"> </w:t>
      </w:r>
    </w:p>
    <w:p>
      <w:pPr>
        <w:pStyle w:val="TextBody"/>
        <w:bidi w:val="0"/>
        <w:spacing w:before="0" w:after="12"/>
        <w:jc w:val="left"/>
        <w:rPr>
          <w:rFonts w:ascii="Times New Roman" w:hAnsi="Times New Roman"/>
          <w:sz w:val="20"/>
        </w:rPr>
      </w:pPr>
      <w:r>
        <w:rPr>
          <w:rFonts w:ascii="Arial" w:hAnsi="Arial"/>
          <w:color w:val="181717"/>
          <w:sz w:val="21"/>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Insider has material nonpublic information or is otherwise not permitted to trade in Company securities, the Company prohibits Insiders from pledging Company securities in any circumstance, including by purchasing Company securities on margin or holding Company securities in a margin account without the prior approval of the Chief Executive Officer or the Chief Financial Officer</w:t>
      </w:r>
      <w:r>
        <w:rPr>
          <w:rFonts w:ascii="Times New Roman" w:hAnsi="Times New Roman"/>
          <w:color w:val="181717"/>
          <w:sz w:val="20"/>
        </w:rPr>
        <w:t xml:space="preserve"> </w:t>
      </w:r>
      <w:r>
        <w:rPr>
          <w:rFonts w:ascii="Arial" w:hAnsi="Arial"/>
          <w:i/>
          <w:color w:val="181717"/>
          <w:sz w:val="21"/>
        </w:rPr>
        <w:t xml:space="preserve">provided </w:t>
      </w:r>
      <w:r>
        <w:rPr>
          <w:rFonts w:ascii="Arial" w:hAnsi="Arial"/>
          <w:color w:val="181717"/>
          <w:sz w:val="21"/>
        </w:rPr>
        <w:t>that, if one of these individuals wishes to hold Company securities on a margin account, it shall be subject to prior approval by the other.</w:t>
      </w:r>
      <w:r>
        <w:rPr>
          <w:rFonts w:ascii="Times New Roman" w:hAnsi="Times New Roman"/>
          <w:color w:val="181717"/>
          <w:sz w:val="20"/>
        </w:rPr>
        <w:t xml:space="preserve"> </w:t>
      </w:r>
    </w:p>
    <w:p>
      <w:pPr>
        <w:pStyle w:val="Heading1"/>
        <w:bidi w:val="0"/>
        <w:spacing w:before="0" w:after="224"/>
        <w:jc w:val="left"/>
        <w:rPr>
          <w:rFonts w:ascii="Times New Roman" w:hAnsi="Times New Roman"/>
          <w:sz w:val="20"/>
        </w:rPr>
      </w:pPr>
      <w:r>
        <w:rPr>
          <w:rFonts w:ascii="Arial" w:hAnsi="Arial"/>
          <w:color w:val="181717"/>
          <w:sz w:val="21"/>
        </w:rPr>
        <w:t xml:space="preserve">F. </w:t>
      </w:r>
      <w:r>
        <w:rPr>
          <w:rFonts w:ascii="Arial" w:hAnsi="Arial"/>
          <w:i/>
          <w:color w:val="181717"/>
          <w:sz w:val="21"/>
        </w:rPr>
        <w:t>Applicability of U.S. Securities Laws to International Transactions</w:t>
      </w:r>
      <w:r>
        <w:rPr>
          <w:rFonts w:ascii="Times New Roman" w:hAnsi="Times New Roman"/>
          <w:color w:val="181717"/>
          <w:sz w:val="20"/>
        </w:rPr>
        <w:t xml:space="preserve"> </w:t>
      </w:r>
    </w:p>
    <w:p>
      <w:pPr>
        <w:pStyle w:val="TextBody"/>
        <w:bidi w:val="0"/>
        <w:jc w:val="left"/>
        <w:rPr>
          <w:rFonts w:ascii="Times New Roman" w:hAnsi="Times New Roman"/>
          <w:sz w:val="20"/>
        </w:rPr>
      </w:pPr>
      <w:r>
        <w:rPr>
          <w:rFonts w:ascii="Arial" w:hAnsi="Arial"/>
          <w:color w:val="181717"/>
          <w:sz w:val="21"/>
        </w:rPr>
        <w:t>All Insiders of the Company and its subsidiaries, whether domestic or international, are subject to this Trading Policy. In addition, U.S. securities laws may be applicable to trades in the Company’s securities executed outside the United States, as well as to the securities of the Company’s subsidiaries or affiliates, even if they are located outside the United States or if you are located outside the United States. Transactions involving securities of subsidiaries or affiliates should be carefully reviewed by counsel for compliance not only with local law but also for possible application of U.S. securities laws.</w:t>
      </w:r>
      <w:r>
        <w:rPr>
          <w:rFonts w:ascii="Times New Roman" w:hAnsi="Times New Roman"/>
          <w:color w:val="181717"/>
          <w:sz w:val="20"/>
        </w:rPr>
        <w:t xml:space="preserve"> </w:t>
      </w:r>
    </w:p>
    <w:p>
      <w:pPr>
        <w:pStyle w:val="Heading1"/>
        <w:bidi w:val="0"/>
        <w:spacing w:before="0" w:after="224"/>
        <w:jc w:val="left"/>
        <w:rPr>
          <w:rFonts w:ascii="Times New Roman" w:hAnsi="Times New Roman"/>
          <w:sz w:val="20"/>
        </w:rPr>
      </w:pPr>
      <w:r>
        <w:rPr>
          <w:rFonts w:ascii="Arial" w:hAnsi="Arial"/>
          <w:color w:val="181717"/>
          <w:sz w:val="21"/>
        </w:rPr>
        <w:t xml:space="preserve">G. </w:t>
      </w:r>
      <w:r>
        <w:rPr>
          <w:rFonts w:ascii="Arial" w:hAnsi="Arial"/>
          <w:i/>
          <w:color w:val="181717"/>
          <w:sz w:val="21"/>
        </w:rPr>
        <w:t>Gifts of Securities</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Gifts of Company securities should only be made when an Insider is not in possession of material nonpublic information. Gifts of Company securities are otherwise subject to this Trading Policy, including the guidelines and restrictions set forth under sections II.B. and II.C.</w:t>
      </w:r>
      <w:r>
        <w:rPr>
          <w:rFonts w:ascii="Times New Roman" w:hAnsi="Times New Roman"/>
          <w:color w:val="181717"/>
          <w:sz w:val="20"/>
        </w:rPr>
        <w:t xml:space="preserve"> </w:t>
      </w:r>
    </w:p>
    <w:p>
      <w:pPr>
        <w:pStyle w:val="TextBody"/>
        <w:bidi w:val="0"/>
        <w:jc w:val="center"/>
        <w:rPr>
          <w:rFonts w:ascii="Arial" w:hAnsi="Arial"/>
          <w:color w:val="181717"/>
          <w:sz w:val="20"/>
        </w:rPr>
      </w:pPr>
      <w:r>
        <w:rPr>
          <w:rFonts w:ascii="Arial" w:hAnsi="Arial"/>
          <w:color w:val="181717"/>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20"/>
        <w:jc w:val="center"/>
        <w:rPr>
          <w:rFonts w:ascii="Times New Roman" w:hAnsi="Times New Roman"/>
          <w:sz w:val="20"/>
        </w:rPr>
      </w:pPr>
      <w:r>
        <w:rPr>
          <w:rFonts w:ascii="Arial" w:hAnsi="Arial"/>
          <w:b/>
          <w:color w:val="181717"/>
          <w:sz w:val="21"/>
          <w:u w:val="single"/>
        </w:rPr>
        <w:t>Supplement to Trading Policy</w:t>
      </w:r>
      <w:r>
        <w:rPr>
          <w:rFonts w:ascii="Times New Roman" w:hAnsi="Times New Roman"/>
          <w:color w:val="181717"/>
          <w:sz w:val="20"/>
        </w:rPr>
        <w:t xml:space="preserve"> </w:t>
      </w:r>
    </w:p>
    <w:p>
      <w:pPr>
        <w:pStyle w:val="TextBody"/>
        <w:bidi w:val="0"/>
        <w:spacing w:before="0" w:after="219"/>
        <w:jc w:val="center"/>
        <w:rPr>
          <w:rFonts w:ascii="Times New Roman" w:hAnsi="Times New Roman"/>
          <w:sz w:val="20"/>
        </w:rPr>
      </w:pPr>
      <w:r>
        <w:rPr>
          <w:rFonts w:ascii="Arial" w:hAnsi="Arial"/>
          <w:b/>
          <w:color w:val="181717"/>
          <w:sz w:val="21"/>
        </w:rPr>
        <w:t>Other Limitations on Securities Transactions</w:t>
      </w:r>
      <w:r>
        <w:rPr>
          <w:rFonts w:ascii="Times New Roman" w:hAnsi="Times New Roman"/>
          <w:color w:val="181717"/>
          <w:sz w:val="20"/>
        </w:rPr>
        <w:t xml:space="preserve"> </w:t>
      </w:r>
    </w:p>
    <w:p>
      <w:pPr>
        <w:pStyle w:val="Heading1"/>
        <w:bidi w:val="0"/>
        <w:spacing w:before="0" w:after="224"/>
        <w:jc w:val="left"/>
        <w:rPr>
          <w:rFonts w:ascii="Times New Roman" w:hAnsi="Times New Roman"/>
          <w:sz w:val="20"/>
        </w:rPr>
      </w:pPr>
      <w:r>
        <w:rPr>
          <w:rFonts w:ascii="Arial" w:hAnsi="Arial"/>
          <w:color w:val="181717"/>
          <w:sz w:val="21"/>
        </w:rPr>
        <w:t xml:space="preserve">A. </w:t>
      </w:r>
      <w:r>
        <w:rPr>
          <w:rFonts w:ascii="Arial" w:hAnsi="Arial"/>
          <w:i/>
          <w:color w:val="181717"/>
          <w:sz w:val="21"/>
        </w:rPr>
        <w:t>Public Resales – Rule 144</w:t>
      </w:r>
      <w:r>
        <w:rPr>
          <w:rFonts w:ascii="Times New Roman" w:hAnsi="Times New Roman"/>
          <w:color w:val="181717"/>
          <w:sz w:val="20"/>
        </w:rPr>
        <w:t xml:space="preserve"> </w:t>
      </w:r>
    </w:p>
    <w:p>
      <w:pPr>
        <w:pStyle w:val="TextBody"/>
        <w:bidi w:val="0"/>
        <w:jc w:val="left"/>
        <w:rPr>
          <w:rFonts w:ascii="Times New Roman" w:hAnsi="Times New Roman"/>
          <w:sz w:val="20"/>
        </w:rPr>
      </w:pPr>
      <w:r>
        <w:rPr>
          <w:rFonts w:ascii="Arial" w:hAnsi="Arial"/>
          <w:color w:val="181717"/>
          <w:sz w:val="21"/>
        </w:rPr>
        <w:t>The U.S. Securities Act of 1933, as amended (the “</w:t>
      </w:r>
      <w:r>
        <w:rPr>
          <w:rFonts w:ascii="Arial" w:hAnsi="Arial"/>
          <w:b/>
          <w:color w:val="181717"/>
          <w:sz w:val="21"/>
        </w:rPr>
        <w:t>Securities Act</w:t>
      </w:r>
      <w:r>
        <w:rPr>
          <w:rFonts w:ascii="Times New Roman" w:hAnsi="Times New Roman"/>
          <w:color w:val="181717"/>
          <w:sz w:val="20"/>
        </w:rPr>
        <w:t>”</w:t>
      </w:r>
      <w:r>
        <w:rPr>
          <w:rFonts w:ascii="Arial" w:hAnsi="Arial"/>
          <w:color w:val="181717"/>
          <w:sz w:val="21"/>
        </w:rPr>
        <w: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Arial" w:hAnsi="Arial"/>
          <w:i/>
          <w:color w:val="181717"/>
          <w:sz w:val="21"/>
        </w:rPr>
        <w:t>i.e.</w:t>
      </w:r>
      <w:r>
        <w:rPr>
          <w:rFonts w:ascii="Arial" w:hAnsi="Arial"/>
          <w:color w:val="181717"/>
          <w:sz w:val="21"/>
        </w:rPr>
        <w:t>, unregistered securities acquired in a private offering or sale) and (ii) public resales by directors, officers and other control persons of a company (known as “affiliates”) of any of the Company’s securities, whether restricted or unrestricted.</w:t>
      </w:r>
      <w:r>
        <w:rPr>
          <w:rFonts w:ascii="Times New Roman" w:hAnsi="Times New Roman"/>
          <w:color w:val="181717"/>
          <w:sz w:val="20"/>
        </w:rPr>
        <w:t xml:space="preserve"> </w:t>
      </w:r>
    </w:p>
    <w:p>
      <w:pPr>
        <w:pStyle w:val="TextBody"/>
        <w:bidi w:val="0"/>
        <w:spacing w:before="0" w:after="249"/>
        <w:jc w:val="left"/>
        <w:rPr>
          <w:rFonts w:ascii="Times New Roman" w:hAnsi="Times New Roman"/>
          <w:sz w:val="20"/>
        </w:rPr>
      </w:pPr>
      <w:r>
        <w:rPr>
          <w:rFonts w:ascii="Arial" w:hAnsi="Arial"/>
          <w:color w:val="181717"/>
          <w:sz w:val="21"/>
        </w:rPr>
        <w:t>The exemption in Rule 144 may only be relied upon if certain conditions are met. These conditions vary based upon whether the Company has been subject to the SEC’s reporting requirements for 90 days (and is therefore a “reporting company” for purposes of the rule) and whether the person seeking to sell the securities is an affiliate or not. Application of the rule is complex and Company directors, officers and employees should not make a sale of Company securities in reliance on Rule 144 without obtaining the approval of the Chief Executive Officer or the Chief Financial Officer, who may require the director, officer or employee to obtain an outside legal opinion satisfactory to the Chief Executive Officer or the Chief Financial Officer concluding that the proposed sale qualifies for the Rule 144 exemption.</w:t>
      </w:r>
      <w:r>
        <w:rPr>
          <w:rFonts w:ascii="Times New Roman" w:hAnsi="Times New Roman"/>
          <w:color w:val="181717"/>
          <w:sz w:val="20"/>
        </w:rPr>
        <w:t xml:space="preserve"> </w:t>
      </w:r>
    </w:p>
    <w:p>
      <w:pPr>
        <w:pStyle w:val="TextBody"/>
        <w:bidi w:val="0"/>
        <w:spacing w:before="0" w:after="251"/>
        <w:jc w:val="left"/>
        <w:rPr>
          <w:rFonts w:ascii="Arial" w:hAnsi="Arial"/>
          <w:color w:val="181717"/>
          <w:sz w:val="21"/>
        </w:rPr>
      </w:pPr>
      <w:r>
        <w:rPr>
          <w:rFonts w:ascii="Arial" w:hAnsi="Arial"/>
          <w:color w:val="181717"/>
          <w:sz w:val="21"/>
        </w:rPr>
        <w:t>1.</w:t>
      </w:r>
    </w:p>
    <w:p>
      <w:pPr>
        <w:pStyle w:val="TextBody"/>
        <w:bidi w:val="0"/>
        <w:spacing w:before="0" w:after="251"/>
        <w:jc w:val="left"/>
        <w:rPr/>
      </w:pPr>
      <w:r>
        <w:rPr>
          <w:rFonts w:ascii="Arial" w:hAnsi="Arial"/>
          <w:i/>
          <w:color w:val="181717"/>
          <w:sz w:val="21"/>
        </w:rPr>
        <w:t>Holding Period</w:t>
      </w:r>
      <w:r>
        <w:rPr>
          <w:rFonts w:ascii="Arial" w:hAnsi="Arial"/>
          <w:color w:val="181717"/>
          <w:sz w:val="21"/>
        </w:rPr>
        <w:t>. Restricted securities issued by a reporting company (</w:t>
      </w:r>
      <w:r>
        <w:rPr>
          <w:rFonts w:ascii="Arial" w:hAnsi="Arial"/>
          <w:i/>
          <w:color w:val="181717"/>
          <w:sz w:val="21"/>
        </w:rPr>
        <w:t>i.e.</w:t>
      </w:r>
      <w:r>
        <w:rPr>
          <w:rFonts w:ascii="Arial" w:hAnsi="Arial"/>
          <w:color w:val="181717"/>
          <w:sz w:val="21"/>
        </w:rPr>
        <w:t xml:space="preserve">, a company that has been subject to the SEC’s reporting requirements for at least 90 days) must be held and fully paid for a period of six months prior to their sale. Restricted securities issued by a non-reporting company are subject to a one- year holding period. The holding period requirement does not apply to securities held by affiliates that were acquired either in the open market or in a public offering of securities 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 </w:t>
      </w:r>
    </w:p>
    <w:p>
      <w:pPr>
        <w:pStyle w:val="TextBody"/>
        <w:bidi w:val="0"/>
        <w:spacing w:before="0" w:after="228"/>
        <w:jc w:val="left"/>
        <w:rPr>
          <w:rFonts w:ascii="Arial" w:hAnsi="Arial"/>
          <w:color w:val="181717"/>
          <w:sz w:val="21"/>
        </w:rPr>
      </w:pPr>
      <w:r>
        <w:rPr>
          <w:rFonts w:ascii="Arial" w:hAnsi="Arial"/>
          <w:color w:val="181717"/>
          <w:sz w:val="21"/>
        </w:rPr>
        <w:t>2.</w:t>
      </w:r>
    </w:p>
    <w:p>
      <w:pPr>
        <w:pStyle w:val="TextBody"/>
        <w:bidi w:val="0"/>
        <w:spacing w:before="0" w:after="228"/>
        <w:jc w:val="left"/>
        <w:rPr/>
      </w:pPr>
      <w:r>
        <w:rPr>
          <w:rFonts w:ascii="Arial" w:hAnsi="Arial"/>
          <w:i/>
          <w:color w:val="181717"/>
          <w:sz w:val="21"/>
        </w:rPr>
        <w:t>Current Public Information</w:t>
      </w:r>
      <w:r>
        <w:rPr>
          <w:rFonts w:ascii="Arial" w:hAnsi="Arial"/>
          <w:color w:val="181717"/>
          <w:sz w:val="21"/>
        </w:rPr>
        <w:t xml:space="preserve">. Current information about the Company must be publicly available before the sale can be made. The Company’s periodic reports filed with the SEC ordinarily satisfy this requirement. If the seller is not an affiliate of the Company issuing the securities (and has not been an affiliate for at least three months) and one year has passed since the securities were acquired from the issuer or an affiliate of the issuer (whichever is later), the seller can sell the securities without regard to the current public information requirement. </w:t>
      </w:r>
    </w:p>
    <w:p>
      <w:pPr>
        <w:pStyle w:val="TextBody"/>
        <w:bidi w:val="0"/>
        <w:spacing w:before="0" w:after="10"/>
        <w:jc w:val="left"/>
        <w:rPr>
          <w:rFonts w:ascii="Times New Roman" w:hAnsi="Times New Roman"/>
          <w:sz w:val="20"/>
        </w:rPr>
      </w:pPr>
      <w:r>
        <w:rPr>
          <w:rFonts w:ascii="Arial" w:hAnsi="Arial"/>
          <w:color w:val="181717"/>
          <w:sz w:val="21"/>
        </w:rPr>
        <w:t>Rule 144 also imposes the following additional conditions on sales by persons who are</w:t>
      </w:r>
      <w:r>
        <w:rPr>
          <w:rFonts w:ascii="Times New Roman" w:hAnsi="Times New Roman"/>
          <w:color w:val="181717"/>
          <w:sz w:val="20"/>
        </w:rPr>
        <w:t xml:space="preserve"> </w:t>
      </w:r>
    </w:p>
    <w:p>
      <w:pPr>
        <w:pStyle w:val="TextBody"/>
        <w:bidi w:val="0"/>
        <w:spacing w:before="0" w:after="251"/>
        <w:jc w:val="left"/>
        <w:rPr/>
      </w:pPr>
      <w:r>
        <w:rPr>
          <w:color w:val="181717"/>
        </w:rPr>
        <w:t>“</w:t>
      </w:r>
      <w:r>
        <w:rPr>
          <w:rFonts w:ascii="Arial" w:hAnsi="Arial"/>
          <w:color w:val="181717"/>
          <w:sz w:val="21"/>
        </w:rPr>
        <w:t>affiliates.” A person or entity is considered an “affiliate,” and therefore subject to these additional conditions, if it is currently an affiliate or has been an affiliate within the previous three months:</w:t>
      </w:r>
      <w:r>
        <w:rPr>
          <w:rFonts w:ascii="Times New Roman" w:hAnsi="Times New Roman"/>
          <w:color w:val="181717"/>
          <w:sz w:val="20"/>
        </w:rPr>
        <w:t xml:space="preserve"> </w:t>
      </w:r>
    </w:p>
    <w:p>
      <w:pPr>
        <w:pStyle w:val="TextBody"/>
        <w:bidi w:val="0"/>
        <w:spacing w:before="0" w:after="227"/>
        <w:jc w:val="left"/>
        <w:rPr>
          <w:rFonts w:ascii="Arial" w:hAnsi="Arial"/>
          <w:color w:val="181717"/>
          <w:sz w:val="21"/>
        </w:rPr>
      </w:pPr>
      <w:r>
        <w:rPr>
          <w:rFonts w:ascii="Arial" w:hAnsi="Arial"/>
          <w:color w:val="181717"/>
          <w:sz w:val="21"/>
        </w:rPr>
        <w:t>1.</w:t>
      </w:r>
    </w:p>
    <w:p>
      <w:pPr>
        <w:pStyle w:val="TextBody"/>
        <w:bidi w:val="0"/>
        <w:spacing w:before="0" w:after="227"/>
        <w:jc w:val="left"/>
        <w:rPr/>
      </w:pPr>
      <w:r>
        <w:rPr>
          <w:rFonts w:ascii="Arial" w:hAnsi="Arial"/>
          <w:i/>
          <w:color w:val="181717"/>
          <w:sz w:val="21"/>
        </w:rPr>
        <w:t>Volume Limitations</w:t>
      </w:r>
      <w:r>
        <w:rPr>
          <w:rFonts w:ascii="Arial" w:hAnsi="Arial"/>
          <w:color w:val="181717"/>
          <w:sz w:val="21"/>
        </w:rPr>
        <w:t xml:space="preserve">. The amount of debt securities that can be sold by an affiliate and by certain persons associated with the affiliate during any three- month period cannot exceed 10% of a tranche (or class when the securities are non- </w:t>
      </w:r>
      <w:r>
        <w:rPr>
          <w:rFonts w:ascii="Arial" w:hAnsi="Arial"/>
          <w:color w:val="181717"/>
          <w:sz w:val="22"/>
        </w:rPr>
        <w:t xml:space="preserve">participatory preferred stock), together with all sales of securities of the same tranche sold for the </w:t>
      </w:r>
    </w:p>
    <w:p>
      <w:pPr>
        <w:pStyle w:val="TextBody"/>
        <w:bidi w:val="0"/>
        <w:jc w:val="center"/>
        <w:rPr>
          <w:rFonts w:ascii="Arial" w:hAnsi="Arial"/>
          <w:color w:val="181717"/>
          <w:sz w:val="16"/>
        </w:rPr>
      </w:pPr>
      <w:r>
        <w:rPr>
          <w:rFonts w:ascii="Arial" w:hAnsi="Arial"/>
          <w:color w:val="181717"/>
          <w:sz w:val="16"/>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27"/>
        <w:jc w:val="left"/>
        <w:rPr/>
      </w:pPr>
      <w:r>
        <w:rPr>
          <w:rFonts w:ascii="Arial" w:hAnsi="Arial"/>
          <w:color w:val="181717"/>
          <w:sz w:val="22"/>
        </w:rPr>
        <w:t>account of the affiliate. The amount of equity securities that can be sold by an affiliate during any three-month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r>
        <w:rPr>
          <w:color w:val="181717"/>
        </w:rPr>
        <w:t xml:space="preserve"> </w:t>
      </w:r>
    </w:p>
    <w:p>
      <w:pPr>
        <w:pStyle w:val="TextBody"/>
        <w:bidi w:val="0"/>
        <w:spacing w:before="0" w:after="251"/>
        <w:jc w:val="left"/>
        <w:rPr>
          <w:rFonts w:ascii="Arial" w:hAnsi="Arial"/>
          <w:color w:val="181717"/>
          <w:sz w:val="21"/>
        </w:rPr>
      </w:pPr>
      <w:r>
        <w:rPr>
          <w:rFonts w:ascii="Arial" w:hAnsi="Arial"/>
          <w:color w:val="181717"/>
          <w:sz w:val="21"/>
        </w:rPr>
        <w:t>2.</w:t>
      </w:r>
    </w:p>
    <w:p>
      <w:pPr>
        <w:pStyle w:val="TextBody"/>
        <w:bidi w:val="0"/>
        <w:spacing w:before="0" w:after="251"/>
        <w:jc w:val="left"/>
        <w:rPr/>
      </w:pPr>
      <w:r>
        <w:rPr>
          <w:rFonts w:ascii="Arial" w:hAnsi="Arial"/>
          <w:i/>
          <w:color w:val="181717"/>
          <w:sz w:val="21"/>
        </w:rPr>
        <w:t>Manner of Sale</w:t>
      </w:r>
      <w:r>
        <w:rPr>
          <w:rFonts w:ascii="Arial" w:hAnsi="Arial"/>
          <w:color w:val="181717"/>
          <w:sz w:val="21"/>
        </w:rPr>
        <w:t xml:space="preserve">. Equity securities held by affiliates must be sold in unsolicited brokers’ transactions, directly to a market-maker or in riskless principal transactions. </w:t>
      </w:r>
    </w:p>
    <w:p>
      <w:pPr>
        <w:pStyle w:val="TextBody"/>
        <w:bidi w:val="0"/>
        <w:spacing w:before="0" w:after="228"/>
        <w:jc w:val="left"/>
        <w:rPr>
          <w:rFonts w:ascii="Arial" w:hAnsi="Arial"/>
          <w:color w:val="181717"/>
          <w:sz w:val="21"/>
        </w:rPr>
      </w:pPr>
      <w:r>
        <w:rPr>
          <w:rFonts w:ascii="Arial" w:hAnsi="Arial"/>
          <w:color w:val="181717"/>
          <w:sz w:val="21"/>
        </w:rPr>
        <w:t>3.</w:t>
      </w:r>
    </w:p>
    <w:p>
      <w:pPr>
        <w:pStyle w:val="TextBody"/>
        <w:bidi w:val="0"/>
        <w:spacing w:before="0" w:after="228"/>
        <w:jc w:val="left"/>
        <w:rPr/>
      </w:pPr>
      <w:r>
        <w:rPr>
          <w:rFonts w:ascii="Arial" w:hAnsi="Arial"/>
          <w:i/>
          <w:color w:val="181717"/>
          <w:sz w:val="21"/>
        </w:rPr>
        <w:t>Notice of Sale</w:t>
      </w:r>
      <w:r>
        <w:rPr>
          <w:rFonts w:ascii="Arial" w:hAnsi="Arial"/>
          <w:color w:val="181717"/>
          <w:sz w:val="21"/>
        </w:rPr>
        <w:t xml:space="preserve">. An affiliate seller must file a notice of the proposed sale with the SEC at the time the order to sell is placed with the broker, unless the amount to be sold neither exceeds 5,000 shares nor involves sale proceeds greater than $50,000. See “Filing Requirements.” </w:t>
      </w:r>
    </w:p>
    <w:p>
      <w:pPr>
        <w:pStyle w:val="TextBody"/>
        <w:bidi w:val="0"/>
        <w:jc w:val="both"/>
        <w:rPr>
          <w:rFonts w:ascii="Times New Roman" w:hAnsi="Times New Roman"/>
          <w:sz w:val="20"/>
        </w:rPr>
      </w:pPr>
      <w:r>
        <w:rPr>
          <w:rFonts w:ascii="Arial" w:hAnsi="Arial"/>
          <w:i/>
          <w:color w:val="181717"/>
          <w:sz w:val="21"/>
        </w:rPr>
        <w:t xml:space="preserve">Bona fide </w:t>
      </w:r>
      <w:r>
        <w:rPr>
          <w:rFonts w:ascii="Arial" w:hAnsi="Arial"/>
          <w:color w:val="181717"/>
          <w:sz w:val="21"/>
        </w:rPr>
        <w:t>gifts are not deemed to involve sales of shares for purposes of Rule 144, so they can be made without limitation on the amount of the gift, subject to the terms of this Trading Policy and in compliance with applicable law. Donees who receive restricted securities from an affiliate generally will be subject to the same restrictions under Rule 144 that would have applied to the donor, depending on the circumstances.</w:t>
      </w:r>
      <w:r>
        <w:rPr>
          <w:rFonts w:ascii="Times New Roman" w:hAnsi="Times New Roman"/>
          <w:color w:val="181717"/>
          <w:sz w:val="20"/>
        </w:rPr>
        <w:t xml:space="preserve"> </w:t>
      </w:r>
    </w:p>
    <w:p>
      <w:pPr>
        <w:pStyle w:val="Heading1"/>
        <w:bidi w:val="0"/>
        <w:spacing w:before="0" w:after="224"/>
        <w:jc w:val="left"/>
        <w:rPr>
          <w:rFonts w:ascii="Times New Roman" w:hAnsi="Times New Roman"/>
          <w:sz w:val="20"/>
        </w:rPr>
      </w:pPr>
      <w:r>
        <w:rPr>
          <w:rFonts w:ascii="Arial" w:hAnsi="Arial"/>
          <w:color w:val="181717"/>
          <w:sz w:val="21"/>
        </w:rPr>
        <w:t xml:space="preserve">B. </w:t>
      </w:r>
      <w:r>
        <w:rPr>
          <w:rFonts w:ascii="Arial" w:hAnsi="Arial"/>
          <w:i/>
          <w:color w:val="181717"/>
          <w:sz w:val="21"/>
        </w:rPr>
        <w:t>Private Resales</w:t>
      </w:r>
      <w:r>
        <w:rPr>
          <w:rFonts w:ascii="Times New Roman" w:hAnsi="Times New Roman"/>
          <w:color w:val="181717"/>
          <w:sz w:val="20"/>
        </w:rPr>
        <w:t xml:space="preserve"> </w:t>
      </w:r>
    </w:p>
    <w:p>
      <w:pPr>
        <w:pStyle w:val="TextBody"/>
        <w:bidi w:val="0"/>
        <w:jc w:val="left"/>
        <w:rPr>
          <w:rFonts w:ascii="Times New Roman" w:hAnsi="Times New Roman"/>
          <w:sz w:val="20"/>
        </w:rPr>
      </w:pPr>
      <w:r>
        <w:rPr>
          <w:rFonts w:ascii="Arial" w:hAnsi="Arial"/>
          <w:color w:val="181717"/>
          <w:sz w:val="21"/>
        </w:rPr>
        <w:t xml:space="preserve">Directors and officers also may sell securities in a private transaction without registration pursuant to Section 4(a)(7) of the Securities Act, which allows resales of shares of reporting companies to accredited investors, </w:t>
      </w:r>
      <w:r>
        <w:rPr>
          <w:rFonts w:ascii="Arial" w:hAnsi="Arial"/>
          <w:i/>
          <w:color w:val="181717"/>
          <w:sz w:val="21"/>
        </w:rPr>
        <w:t xml:space="preserve">provided </w:t>
      </w:r>
      <w:r>
        <w:rPr>
          <w:rFonts w:ascii="Arial" w:hAnsi="Arial"/>
          <w:color w:val="181717"/>
          <w:sz w:val="21"/>
        </w:rPr>
        <w:t>that the sale is not solicited by any form of general solicitation or advertising. There are a number of additional requirements, including that the seller and persons participating in the sale on a remunerated basis are not “bad actors” under Rule 506(d)(1) of Regulation D or otherwise subject to certain statutory disqualifications; the Company is engaged in a business and not in bankruptcy; and the securities offered have been outstanding for at least 90 days and are not part of an unsold underwriter’s allotment. Private resales must be reviewed in advance by the Company’s Chief Executive Officer or its Chief Financial Officer and may require the participation of outside counsel.</w:t>
      </w:r>
      <w:r>
        <w:rPr>
          <w:rFonts w:ascii="Times New Roman" w:hAnsi="Times New Roman"/>
          <w:color w:val="181717"/>
          <w:sz w:val="20"/>
        </w:rPr>
        <w:t xml:space="preserve"> </w:t>
      </w:r>
    </w:p>
    <w:p>
      <w:pPr>
        <w:pStyle w:val="Heading1"/>
        <w:bidi w:val="0"/>
        <w:spacing w:before="0" w:after="224"/>
        <w:jc w:val="left"/>
        <w:rPr>
          <w:rFonts w:ascii="Times New Roman" w:hAnsi="Times New Roman"/>
          <w:sz w:val="20"/>
        </w:rPr>
      </w:pPr>
      <w:r>
        <w:rPr>
          <w:rFonts w:ascii="Arial" w:hAnsi="Arial"/>
          <w:color w:val="181717"/>
          <w:sz w:val="21"/>
        </w:rPr>
        <w:t xml:space="preserve">C. </w:t>
      </w:r>
      <w:r>
        <w:rPr>
          <w:rFonts w:ascii="Arial" w:hAnsi="Arial"/>
          <w:i/>
          <w:color w:val="181717"/>
          <w:sz w:val="21"/>
        </w:rPr>
        <w:t>Restrictions on Purchases of Company Securities</w:t>
      </w:r>
      <w:r>
        <w:rPr>
          <w:rFonts w:ascii="Times New Roman" w:hAnsi="Times New Roman"/>
          <w:color w:val="181717"/>
          <w:sz w:val="20"/>
        </w:rPr>
        <w:t xml:space="preserve"> </w:t>
      </w:r>
    </w:p>
    <w:p>
      <w:pPr>
        <w:pStyle w:val="TextBody"/>
        <w:bidi w:val="0"/>
        <w:spacing w:before="0" w:after="10"/>
        <w:jc w:val="left"/>
        <w:rPr>
          <w:rFonts w:ascii="Times New Roman" w:hAnsi="Times New Roman"/>
          <w:sz w:val="20"/>
        </w:rPr>
      </w:pPr>
      <w:r>
        <w:rPr>
          <w:rFonts w:ascii="Arial" w:hAnsi="Arial"/>
          <w:color w:val="181717"/>
          <w:sz w:val="21"/>
        </w:rPr>
        <w:t>In order to prevent market manipulation, the SEC adopted Regulation M under the U.S. Securities</w:t>
      </w:r>
      <w:r>
        <w:rPr>
          <w:rFonts w:ascii="Times New Roman" w:hAnsi="Times New Roman"/>
          <w:color w:val="181717"/>
          <w:sz w:val="20"/>
        </w:rPr>
        <w:t xml:space="preserve"> </w:t>
      </w:r>
    </w:p>
    <w:p>
      <w:pPr>
        <w:pStyle w:val="TextBody"/>
        <w:bidi w:val="0"/>
        <w:spacing w:before="0" w:after="249"/>
        <w:jc w:val="left"/>
        <w:rPr>
          <w:rFonts w:ascii="Times New Roman" w:hAnsi="Times New Roman"/>
          <w:sz w:val="20"/>
        </w:rPr>
      </w:pPr>
      <w:r>
        <w:rPr>
          <w:rFonts w:ascii="Arial" w:hAnsi="Arial"/>
          <w:color w:val="181717"/>
          <w:sz w:val="21"/>
        </w:rPr>
        <w:t>Exchange Act of 1934, as amended (the “</w:t>
      </w:r>
      <w:r>
        <w:rPr>
          <w:rFonts w:ascii="Arial" w:hAnsi="Arial"/>
          <w:b/>
          <w:color w:val="181717"/>
          <w:sz w:val="21"/>
        </w:rPr>
        <w:t>Exchange Act</w:t>
      </w:r>
      <w:r>
        <w:rPr>
          <w:rFonts w:ascii="Times New Roman" w:hAnsi="Times New Roman"/>
          <w:color w:val="181717"/>
          <w:sz w:val="20"/>
        </w:rPr>
        <w:t>”</w:t>
      </w:r>
      <w:r>
        <w:rPr>
          <w:rFonts w:ascii="Arial" w:hAnsi="Arial"/>
          <w:color w:val="181717"/>
          <w:sz w:val="21"/>
        </w:rPr>
        <w:t>). Regulation M generally restricts the Company or any of its affiliates from buying Company stock, including as part of a share buyback program, in the open market during certain periods while a distribution, such as a public offering, is taking place. You should consult with the Company’s Chief Executive Officer or its Chief Financial Officer if you desire to make purchases of Company stock during any period in which the Company is conducting an offering. Similar considerations may apply during period when the Company is conducting or has announced a tender offer.</w:t>
      </w:r>
      <w:r>
        <w:rPr>
          <w:rFonts w:ascii="Times New Roman" w:hAnsi="Times New Roman"/>
          <w:color w:val="181717"/>
          <w:sz w:val="20"/>
        </w:rPr>
        <w:t xml:space="preserve"> </w:t>
      </w:r>
    </w:p>
    <w:p>
      <w:pPr>
        <w:pStyle w:val="Heading1"/>
        <w:bidi w:val="0"/>
        <w:spacing w:before="0" w:after="224"/>
        <w:jc w:val="left"/>
        <w:rPr>
          <w:rFonts w:ascii="Times New Roman" w:hAnsi="Times New Roman"/>
          <w:sz w:val="20"/>
        </w:rPr>
      </w:pPr>
      <w:r>
        <w:rPr>
          <w:rFonts w:ascii="Arial" w:hAnsi="Arial"/>
          <w:color w:val="181717"/>
          <w:sz w:val="21"/>
        </w:rPr>
        <w:t xml:space="preserve">D. </w:t>
      </w:r>
      <w:r>
        <w:rPr>
          <w:rFonts w:ascii="Arial" w:hAnsi="Arial"/>
          <w:i/>
          <w:color w:val="181717"/>
          <w:sz w:val="21"/>
        </w:rPr>
        <w:t>Disgorgement of Profits on Short-Swing Transactions – Section 16(b)</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Section 16 of the Exchange Act applies to directors and executive officers of the Company and to any person owning more than ten percent of any registered class of the Company’s equity securities. The section is intended to deter such persons (collectively referred to below as “</w:t>
      </w:r>
      <w:r>
        <w:rPr>
          <w:rFonts w:ascii="Arial" w:hAnsi="Arial"/>
          <w:b/>
          <w:color w:val="181717"/>
          <w:sz w:val="21"/>
        </w:rPr>
        <w:t>Section 16 insiders</w:t>
      </w:r>
      <w:r>
        <w:rPr>
          <w:rFonts w:ascii="Times New Roman" w:hAnsi="Times New Roman"/>
          <w:color w:val="181717"/>
          <w:sz w:val="20"/>
        </w:rPr>
        <w:t>”</w:t>
      </w:r>
      <w:r>
        <w:rPr>
          <w:rFonts w:ascii="Arial" w:hAnsi="Arial"/>
          <w:color w:val="181717"/>
          <w:sz w:val="21"/>
        </w:rPr>
        <w:t>) from misusing confidential information about their companies for personal trading gain. Section 16(a) requires Section 16 insiders to publicly disclose any changes in their beneficial</w:t>
      </w:r>
      <w:r>
        <w:rPr>
          <w:rFonts w:ascii="Times New Roman" w:hAnsi="Times New Roman"/>
          <w:color w:val="181717"/>
          <w:sz w:val="20"/>
        </w:rPr>
        <w:t xml:space="preserve"> </w:t>
      </w:r>
    </w:p>
    <w:p>
      <w:pPr>
        <w:pStyle w:val="TextBody"/>
        <w:bidi w:val="0"/>
        <w:jc w:val="center"/>
        <w:rPr>
          <w:rFonts w:ascii="Arial" w:hAnsi="Arial"/>
          <w:color w:val="181717"/>
          <w:sz w:val="16"/>
        </w:rPr>
      </w:pPr>
      <w:r>
        <w:rPr>
          <w:rFonts w:ascii="Arial" w:hAnsi="Arial"/>
          <w:color w:val="181717"/>
          <w:sz w:val="16"/>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28"/>
        <w:jc w:val="left"/>
        <w:rPr>
          <w:rFonts w:ascii="Times New Roman" w:hAnsi="Times New Roman"/>
          <w:sz w:val="20"/>
        </w:rPr>
      </w:pPr>
      <w:r>
        <w:rPr>
          <w:rFonts w:ascii="Arial" w:hAnsi="Arial"/>
          <w:color w:val="181717"/>
          <w:sz w:val="21"/>
        </w:rPr>
        <w:t>ownership of the Company’s equity securities (see “Filing Requirements”, below). Section 16(b) requires Section 16 insiders to disgorge to the Company any “profit” resulting from “short-swing” trades, as discussed more fully below. Section 16(c) effectively prohibits Section 16 insiders from engaging in short sales (see “Prohibition of Short Sales” below).</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Under Section 16(b), any profit realized by an insider on a “short-swing” transaction (</w:t>
      </w:r>
      <w:r>
        <w:rPr>
          <w:rFonts w:ascii="Arial" w:hAnsi="Arial"/>
          <w:i/>
          <w:color w:val="181717"/>
          <w:sz w:val="21"/>
        </w:rPr>
        <w:t>i.e.</w:t>
      </w:r>
      <w:r>
        <w:rPr>
          <w:rFonts w:ascii="Arial" w:hAnsi="Arial"/>
          <w:color w:val="181717"/>
          <w:sz w:val="21"/>
        </w:rPr>
        <w:t>, a purchase and sale, or sale and purchase, of the Company’s equity securities within a period of less than six months) must be disgorged to the Company upon demand by the Company or a stockholder acting on its behalf. By law, the Company cannot waive or release any claim it may have under Section 16(b), or enter into an enforceable agreement to provide indemnification for amounts recovered under the section.</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Liability under Section 16(b) is imposed in a mechanical fashion without regard to whether the insider intended to violate the section. Good faith, therefore, is generally not a defense. All that is necessary for a successful claim is to show that the insider realized “profits” on a short-swing transaction; however, profit, for this purpose, is calculated as the difference between the sale price and the purchase price in the matching transactions, and may be unrelated to the actual gain on the shares sold. When computing recoverable profits on multiple purchases and sales within a six-month period, the courts maximize the recovery by matching the lowest purchase price with the highest sale price, the next lowest purchase price with the next highest sale price, and so on. The use of this method makes it possible for an insider to sustain a net loss on a series of transactions while having recoverable profits.</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The terms “purchase” and “sale” are construed under Section 16(b) to cover a broad range of transactions, including acquisitions and dispositions in tender offers, certain corporate reorganizations and transactions in convertible or derivative securities (such as stock options and stock appreciation rights). Moreover, purchases and sales by an insider may be matched with transactions by any person (such as certain family members or a family trust) whose securities are deemed to be beneficially owned by the insider.</w:t>
      </w:r>
      <w:r>
        <w:rPr>
          <w:rFonts w:ascii="Times New Roman" w:hAnsi="Times New Roman"/>
          <w:color w:val="181717"/>
          <w:sz w:val="20"/>
        </w:rPr>
        <w:t xml:space="preserve"> </w:t>
      </w:r>
    </w:p>
    <w:p>
      <w:pPr>
        <w:pStyle w:val="TextBody"/>
        <w:bidi w:val="0"/>
        <w:jc w:val="left"/>
        <w:rPr>
          <w:rFonts w:ascii="Times New Roman" w:hAnsi="Times New Roman"/>
          <w:sz w:val="20"/>
        </w:rPr>
      </w:pPr>
      <w:r>
        <w:rPr>
          <w:rFonts w:ascii="Arial" w:hAnsi="Arial"/>
          <w:color w:val="181717"/>
          <w:sz w:val="21"/>
        </w:rPr>
        <w:t>The Section 16 rules are complicated and present ample opportunity for inadvertent error. To avoid unnecessary costs and potential embarrassment for Section 16 insiders and the</w:t>
      </w:r>
      <w:r>
        <w:rPr>
          <w:rFonts w:ascii="Times New Roman" w:hAnsi="Times New Roman"/>
          <w:color w:val="181717"/>
          <w:sz w:val="20"/>
        </w:rPr>
        <w:t xml:space="preserve"> </w:t>
      </w:r>
    </w:p>
    <w:p>
      <w:pPr>
        <w:pStyle w:val="TextBody"/>
        <w:bidi w:val="0"/>
        <w:spacing w:before="0" w:after="259"/>
        <w:jc w:val="both"/>
        <w:rPr>
          <w:rFonts w:ascii="Times New Roman" w:hAnsi="Times New Roman"/>
          <w:sz w:val="20"/>
        </w:rPr>
      </w:pPr>
      <w:r>
        <w:rPr>
          <w:rFonts w:ascii="Arial" w:hAnsi="Arial"/>
          <w:color w:val="181717"/>
          <w:sz w:val="21"/>
        </w:rPr>
        <w:t>Company, directors and officers are strongly urged to consult with the Company’s Chief Executive Officer or its Chief Financial Officer, prior to engaging in any transaction or other transfer of Company equity securities regarding the potential applicability of Section 16(b).</w:t>
      </w:r>
      <w:r>
        <w:rPr>
          <w:rFonts w:ascii="Times New Roman" w:hAnsi="Times New Roman"/>
          <w:color w:val="181717"/>
          <w:sz w:val="20"/>
        </w:rPr>
        <w:t xml:space="preserve"> </w:t>
      </w:r>
    </w:p>
    <w:p>
      <w:pPr>
        <w:pStyle w:val="Heading1"/>
        <w:bidi w:val="0"/>
        <w:spacing w:before="0" w:after="224"/>
        <w:jc w:val="left"/>
        <w:rPr>
          <w:rFonts w:ascii="Times New Roman" w:hAnsi="Times New Roman"/>
          <w:sz w:val="20"/>
        </w:rPr>
      </w:pPr>
      <w:r>
        <w:rPr>
          <w:rFonts w:ascii="Arial" w:hAnsi="Arial"/>
          <w:color w:val="181717"/>
          <w:sz w:val="21"/>
        </w:rPr>
        <w:t xml:space="preserve">E. </w:t>
      </w:r>
      <w:r>
        <w:rPr>
          <w:rFonts w:ascii="Arial" w:hAnsi="Arial"/>
          <w:i/>
          <w:color w:val="181717"/>
          <w:sz w:val="21"/>
        </w:rPr>
        <w:t>Prohibition of Short Sales</w:t>
      </w:r>
      <w:r>
        <w:rPr>
          <w:rFonts w:ascii="Times New Roman" w:hAnsi="Times New Roman"/>
          <w:color w:val="181717"/>
          <w:sz w:val="20"/>
        </w:rPr>
        <w:t xml:space="preserve"> </w:t>
      </w:r>
    </w:p>
    <w:p>
      <w:pPr>
        <w:pStyle w:val="TextBody"/>
        <w:bidi w:val="0"/>
        <w:spacing w:before="0" w:after="249"/>
        <w:jc w:val="left"/>
        <w:rPr>
          <w:rFonts w:ascii="Times New Roman" w:hAnsi="Times New Roman"/>
          <w:sz w:val="20"/>
        </w:rPr>
      </w:pPr>
      <w:r>
        <w:rPr>
          <w:rFonts w:ascii="Arial" w:hAnsi="Arial"/>
          <w:color w:val="181717"/>
          <w:sz w:val="21"/>
        </w:rPr>
        <w:t>Under Section 16(c), Section 16 insiders are prohibited from effecting “short sales” of the Company’s equity securities. A “short sale” is one involving securities which the seller does not own at the time of sale, or, if owned, are not delivered within 20 days after the sale or deposited in the mail or other usual channels of transportation within five days after the sale. Wholly apart from Section 16(c), the Company prohibits directors, officers and employees from selling the Company’s stock short. This type of activity is inherently speculative in nature and is contrary to the best interests of the Company and its stockholders.</w:t>
      </w:r>
      <w:r>
        <w:rPr>
          <w:rFonts w:ascii="Times New Roman" w:hAnsi="Times New Roman"/>
          <w:color w:val="181717"/>
          <w:sz w:val="20"/>
        </w:rPr>
        <w:t xml:space="preserve"> </w:t>
      </w:r>
    </w:p>
    <w:p>
      <w:pPr>
        <w:pStyle w:val="Heading1"/>
        <w:bidi w:val="0"/>
        <w:spacing w:before="0" w:after="248"/>
        <w:jc w:val="left"/>
        <w:rPr>
          <w:rFonts w:ascii="Times New Roman" w:hAnsi="Times New Roman"/>
          <w:sz w:val="20"/>
        </w:rPr>
      </w:pPr>
      <w:r>
        <w:rPr>
          <w:rFonts w:ascii="Arial" w:hAnsi="Arial"/>
          <w:color w:val="181717"/>
          <w:sz w:val="21"/>
        </w:rPr>
        <w:t xml:space="preserve">F. </w:t>
      </w:r>
      <w:r>
        <w:rPr>
          <w:rFonts w:ascii="Arial" w:hAnsi="Arial"/>
          <w:i/>
          <w:color w:val="181717"/>
          <w:sz w:val="21"/>
        </w:rPr>
        <w:t>Filing Requirements</w:t>
      </w:r>
      <w:r>
        <w:rPr>
          <w:rFonts w:ascii="Times New Roman" w:hAnsi="Times New Roman"/>
          <w:color w:val="181717"/>
          <w:sz w:val="20"/>
        </w:rPr>
        <w:t xml:space="preserve"> </w:t>
      </w:r>
    </w:p>
    <w:p>
      <w:pPr>
        <w:pStyle w:val="TextBody"/>
        <w:bidi w:val="0"/>
        <w:spacing w:before="0" w:after="228"/>
        <w:jc w:val="left"/>
        <w:rPr>
          <w:rFonts w:ascii="Arial" w:hAnsi="Arial"/>
          <w:color w:val="181717"/>
          <w:sz w:val="21"/>
        </w:rPr>
      </w:pPr>
      <w:r>
        <w:rPr>
          <w:rFonts w:ascii="Arial" w:hAnsi="Arial"/>
          <w:color w:val="181717"/>
          <w:sz w:val="21"/>
        </w:rPr>
        <w:t>1.</w:t>
      </w:r>
    </w:p>
    <w:p>
      <w:pPr>
        <w:pStyle w:val="TextBody"/>
        <w:bidi w:val="0"/>
        <w:spacing w:before="0" w:after="228"/>
        <w:jc w:val="left"/>
        <w:rPr/>
      </w:pPr>
      <w:r>
        <w:rPr>
          <w:rFonts w:ascii="Arial" w:hAnsi="Arial"/>
          <w:i/>
          <w:color w:val="181717"/>
          <w:sz w:val="21"/>
        </w:rPr>
        <w:t>Form 3, 4 and 5</w:t>
      </w:r>
      <w:r>
        <w:rPr>
          <w:rFonts w:ascii="Arial" w:hAnsi="Arial"/>
          <w:color w:val="181717"/>
          <w:sz w:val="21"/>
        </w:rPr>
        <w:t xml:space="preserve">. Under Section 16(a) of the Exchange Act, Section 16 insiders must file with the SEC public reports disclosing their holdings of and transactions involving, the Company’s equity securities. An initial report on Form 3 must be filed by every insider within 10 days after election or appointment disclosing </w:t>
      </w:r>
      <w:r>
        <w:rPr>
          <w:rFonts w:ascii="Arial" w:hAnsi="Arial"/>
          <w:i/>
          <w:color w:val="181717"/>
          <w:sz w:val="21"/>
        </w:rPr>
        <w:t xml:space="preserve">all </w:t>
      </w:r>
      <w:r>
        <w:rPr>
          <w:rFonts w:ascii="Arial" w:hAnsi="Arial"/>
          <w:color w:val="181717"/>
          <w:sz w:val="21"/>
        </w:rPr>
        <w:t xml:space="preserve">equity securities of the </w:t>
      </w:r>
    </w:p>
    <w:p>
      <w:pPr>
        <w:pStyle w:val="TextBody"/>
        <w:bidi w:val="0"/>
        <w:jc w:val="center"/>
        <w:rPr>
          <w:rFonts w:ascii="Arial" w:hAnsi="Arial"/>
          <w:color w:val="181717"/>
          <w:sz w:val="16"/>
        </w:rPr>
      </w:pPr>
      <w:r>
        <w:rPr>
          <w:rFonts w:ascii="Arial" w:hAnsi="Arial"/>
          <w:color w:val="181717"/>
          <w:sz w:val="16"/>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28"/>
        <w:jc w:val="left"/>
        <w:rPr/>
      </w:pPr>
      <w:r>
        <w:rPr>
          <w:rFonts w:ascii="Arial" w:hAnsi="Arial"/>
          <w:color w:val="181717"/>
          <w:sz w:val="21"/>
        </w:rPr>
        <w:t>Company beneficially owned by the reporting person on the date he became an insider. Even if no securities were owned on that date, the insider must file a report. Any subsequent change in the nature or amount of beneficial ownership by the insider must be reported on Form 4 and filed by the end of the second business day following the date of the transaction. The Form 4 filing requirement and filing deadline also applies to any donation or gift of company equity securities by the insider, regardless of the recipient. Certain exempt transactions may be reported on Form 5 within 45 days after the end of the fiscal year. The fact that an insider’s transactions during the month resulted in no net change, or the fact that no securities were owned after the transactions were completed, does not provide a basis for failing to report.</w:t>
      </w:r>
      <w:r>
        <w:rPr>
          <w:color w:val="181717"/>
        </w:rPr>
        <w:t xml:space="preserve"> </w:t>
      </w:r>
    </w:p>
    <w:p>
      <w:pPr>
        <w:pStyle w:val="TextBody"/>
        <w:bidi w:val="0"/>
        <w:spacing w:before="0" w:after="228"/>
        <w:jc w:val="left"/>
        <w:rPr>
          <w:rFonts w:ascii="Times New Roman" w:hAnsi="Times New Roman"/>
          <w:sz w:val="20"/>
        </w:rPr>
      </w:pPr>
      <w:r>
        <w:rPr>
          <w:rFonts w:ascii="Arial" w:hAnsi="Arial"/>
          <w:color w:val="181717"/>
          <w:sz w:val="21"/>
        </w:rPr>
        <w:t>All changes in the amount or the form (</w:t>
      </w:r>
      <w:r>
        <w:rPr>
          <w:rFonts w:ascii="Arial" w:hAnsi="Arial"/>
          <w:i/>
          <w:color w:val="181717"/>
          <w:sz w:val="21"/>
        </w:rPr>
        <w:t xml:space="preserve">i.e., </w:t>
      </w:r>
      <w:r>
        <w:rPr>
          <w:rFonts w:ascii="Arial" w:hAnsi="Arial"/>
          <w:color w:val="181717"/>
          <w:sz w:val="21"/>
        </w:rPr>
        <w:t>direct or indirect) of beneficial ownership (not just purchases and sales) must be reported. Thus, transactions such as gifts are reportable. Moreover, a director or officer who has ceased to be a director or officer must report any transactions after termination which occurred within six months of a transaction that occurred while the person was an insider. Form 4 also must reflect the insider’s holdings immediately after the reported transaction, so it is important to maintain an accurate account of the insider’s holdings over time.</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The reports under Section 16(a) are intended to cover all securities beneficially owned either directly by the insider or indirectly through others. An insider is considered the direct owner of all Company equity securities held in his or her own name or held jointly with others. An insider is considered the indirect owner of any securities from which he obtains benefits substantially equivalent to those of ownership. Thus, equity securities of the Company beneficially owned through partnerships, corporations, trusts, estates and by family members generally are subject to reporting. Absent countervailing facts, an insider is presumed to be the beneficial owner of securities held by his or her spouse and other family members sharing the same household. But an insider is free to disclaim beneficial ownership of these or any other securities being reported if the insider believes there is a reasonable basis for doing so.</w:t>
      </w:r>
      <w:r>
        <w:rPr>
          <w:rFonts w:ascii="Times New Roman" w:hAnsi="Times New Roman"/>
          <w:color w:val="181717"/>
          <w:sz w:val="20"/>
        </w:rPr>
        <w:t xml:space="preserve"> </w:t>
      </w:r>
    </w:p>
    <w:p>
      <w:pPr>
        <w:pStyle w:val="TextBody"/>
        <w:bidi w:val="0"/>
        <w:spacing w:before="0" w:after="251"/>
        <w:jc w:val="left"/>
        <w:rPr>
          <w:rFonts w:ascii="Times New Roman" w:hAnsi="Times New Roman"/>
          <w:sz w:val="20"/>
        </w:rPr>
      </w:pPr>
      <w:r>
        <w:rPr>
          <w:rFonts w:ascii="Arial" w:hAnsi="Arial"/>
          <w:color w:val="181717"/>
          <w:sz w:val="21"/>
        </w:rPr>
        <w:t>It is important that reports under Section 16(a) be prepared properly and filed on a timely basis. The reports must be received at the SEC by the filing deadline. There is no provision for an extension of the filing deadlines, and the SEC can take enforcement action against Section 16 insiders who do not comply fully with the filing requirements. In addition, the Company is required to disclose in its annual proxy statement the names of Section 16 insiders who failed to file Section 16(a) reports properly during the fiscal year, along with the particulars of such instances of noncompliance. Accordingly, all directors and officers must notify the Company’s Chief Executive Officer or its Chief Financial Officer, prior to any transactions or changes in their or their family members’ beneficial ownership involving Company stock and are strongly encouraged to avail themselves of the assistance available from the Chief Executive Officer’s office or the Chief Financial Officer’s office in satisfying the reporting requirements.</w:t>
      </w:r>
      <w:r>
        <w:rPr>
          <w:rFonts w:ascii="Times New Roman" w:hAnsi="Times New Roman"/>
          <w:color w:val="181717"/>
          <w:sz w:val="20"/>
        </w:rPr>
        <w:t xml:space="preserve"> </w:t>
      </w:r>
    </w:p>
    <w:p>
      <w:pPr>
        <w:pStyle w:val="TextBody"/>
        <w:bidi w:val="0"/>
        <w:spacing w:before="0" w:after="228"/>
        <w:jc w:val="left"/>
        <w:rPr>
          <w:rFonts w:ascii="Arial" w:hAnsi="Arial"/>
          <w:color w:val="181717"/>
          <w:sz w:val="21"/>
        </w:rPr>
      </w:pPr>
      <w:r>
        <w:rPr>
          <w:rFonts w:ascii="Arial" w:hAnsi="Arial"/>
          <w:color w:val="181717"/>
          <w:sz w:val="21"/>
        </w:rPr>
        <w:t>2.</w:t>
      </w:r>
    </w:p>
    <w:p>
      <w:pPr>
        <w:pStyle w:val="TextBody"/>
        <w:bidi w:val="0"/>
        <w:spacing w:before="0" w:after="228"/>
        <w:jc w:val="left"/>
        <w:rPr/>
      </w:pPr>
      <w:r>
        <w:rPr>
          <w:rFonts w:ascii="Arial" w:hAnsi="Arial"/>
          <w:i/>
          <w:color w:val="181717"/>
          <w:sz w:val="21"/>
        </w:rPr>
        <w:t>Schedule 13D and 13G</w:t>
      </w:r>
      <w:r>
        <w:rPr>
          <w:rFonts w:ascii="Arial" w:hAnsi="Arial"/>
          <w:color w:val="181717"/>
          <w:sz w:val="21"/>
        </w:rPr>
        <w:t xml:space="preserve">. Section 13(d) of the Exchange Act requires the filing of a statement on Schedule 13D (or on Schedule 13G, in certain limited circumstances) by any person or group that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 </w:t>
      </w:r>
    </w:p>
    <w:p>
      <w:pPr>
        <w:pStyle w:val="TextBody"/>
        <w:bidi w:val="0"/>
        <w:jc w:val="center"/>
        <w:rPr>
          <w:rFonts w:ascii="Arial" w:hAnsi="Arial"/>
          <w:color w:val="181717"/>
          <w:sz w:val="16"/>
        </w:rPr>
      </w:pPr>
      <w:r>
        <w:rPr>
          <w:rFonts w:ascii="Arial" w:hAnsi="Arial"/>
          <w:color w:val="181717"/>
          <w:sz w:val="16"/>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Arial" w:hAnsi="Arial"/>
          <w:color w:val="181717"/>
          <w:sz w:val="21"/>
        </w:rPr>
        <w:t>A report on Schedule 13D is required to be filed with the SEC and submitted to the Company within five business days after the reporting threshold is reached. If a material change occurs in the facts set forth in the Schedule 13D, such as an increase or decrease of one percent or more in the percentage of stock beneficially owned, an amendment disclosing the change must be filed within two business days. A decrease in beneficial ownership to less than five percent is per se material and must be reported.</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A limited category of persons (such as banks, broker-dealers and insurance companies) may</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file on Schedule 13G, which is a much abbreviated version of Schedule 13D, as long as the securities were acquired in the ordinary course of business and not with the purpose or effect of changing or influencing the control of the issuer. Under rules adopted in 2023, beginning on September 30, 2024, which is the date the new Schedule 13G deadlines become effective, a report on Schedule 13G is required to be filed with the SEC and submitted to the Company within 45 days after the end of the calendar quarter in which the reporting threshold is reached.</w:t>
      </w:r>
      <w:r>
        <w:rPr>
          <w:rFonts w:ascii="Times New Roman" w:hAnsi="Times New Roman"/>
          <w:color w:val="181717"/>
          <w:sz w:val="20"/>
        </w:rPr>
        <w:t xml:space="preserve"> </w:t>
      </w:r>
    </w:p>
    <w:p>
      <w:pPr>
        <w:pStyle w:val="TextBody"/>
        <w:bidi w:val="0"/>
        <w:spacing w:before="0" w:after="249"/>
        <w:jc w:val="left"/>
        <w:rPr>
          <w:rFonts w:ascii="Times New Roman" w:hAnsi="Times New Roman"/>
          <w:sz w:val="20"/>
        </w:rPr>
      </w:pPr>
      <w:r>
        <w:rPr>
          <w:rFonts w:ascii="Arial" w:hAnsi="Arial"/>
          <w:color w:val="181717"/>
          <w:sz w:val="21"/>
        </w:rPr>
        <w:t>A person is deemed the beneficial owner of securities for purposes of Section 13(d) if such person has or shares voting power (</w:t>
      </w:r>
      <w:r>
        <w:rPr>
          <w:rFonts w:ascii="Arial" w:hAnsi="Arial"/>
          <w:i/>
          <w:color w:val="181717"/>
          <w:sz w:val="21"/>
        </w:rPr>
        <w:t>i.e.</w:t>
      </w:r>
      <w:r>
        <w:rPr>
          <w:rFonts w:ascii="Arial" w:hAnsi="Arial"/>
          <w:color w:val="181717"/>
          <w:sz w:val="21"/>
        </w:rPr>
        <w:t>, the power to vote or direct the voting of the securities) or dispositive power (</w:t>
      </w:r>
      <w:r>
        <w:rPr>
          <w:rFonts w:ascii="Arial" w:hAnsi="Arial"/>
          <w:i/>
          <w:color w:val="181717"/>
          <w:sz w:val="21"/>
        </w:rPr>
        <w:t>i.e.</w:t>
      </w:r>
      <w:r>
        <w:rPr>
          <w:rFonts w:ascii="Arial" w:hAnsi="Arial"/>
          <w:color w:val="181717"/>
          <w:sz w:val="21"/>
        </w:rPr>
        <w:t>, the power to sell or direct the sale of the securities). As is true under Section 16(a) of the Exchange Act, a person filing a Schedule 13D may seek to disclaim beneficial ownership of any securities attributed to him or her if he or she believes there is a reasonable basis for doing so.</w:t>
      </w:r>
      <w:r>
        <w:rPr>
          <w:rFonts w:ascii="Times New Roman" w:hAnsi="Times New Roman"/>
          <w:color w:val="181717"/>
          <w:sz w:val="20"/>
        </w:rPr>
        <w:t xml:space="preserve"> </w:t>
      </w:r>
    </w:p>
    <w:p>
      <w:pPr>
        <w:pStyle w:val="TextBody"/>
        <w:bidi w:val="0"/>
        <w:spacing w:before="0" w:after="228"/>
        <w:jc w:val="left"/>
        <w:rPr>
          <w:rFonts w:ascii="Times New Roman" w:hAnsi="Times New Roman"/>
          <w:sz w:val="20"/>
        </w:rPr>
      </w:pPr>
      <w:r>
        <w:rPr>
          <w:rFonts w:ascii="Arial" w:hAnsi="Arial"/>
          <w:color w:val="181717"/>
          <w:sz w:val="21"/>
        </w:rPr>
        <w:t xml:space="preserve">3. </w:t>
      </w:r>
      <w:r>
        <w:rPr>
          <w:rFonts w:ascii="Arial" w:hAnsi="Arial"/>
          <w:i/>
          <w:color w:val="181717"/>
          <w:sz w:val="21"/>
        </w:rPr>
        <w:t>Form 144</w:t>
      </w:r>
      <w:r>
        <w:rPr>
          <w:rFonts w:ascii="Arial" w:hAnsi="Arial"/>
          <w:color w:val="181717"/>
          <w:sz w:val="21"/>
        </w:rPr>
        <w:t>. As described above under the discussion of Rule 144, an affiliate seller relying on Rule 144 must file a notice of proposed sale with the SEC at the time the order to sell is placed with the broker unless the amount to be sold during any three-month period neither exceeds 5,000 shares nor involves sale proceeds greater than $50,000.</w:t>
      </w:r>
      <w:r>
        <w:rPr>
          <w:rFonts w:ascii="Times New Roman" w:hAnsi="Times New Roman"/>
          <w:color w:val="181717"/>
          <w:sz w:val="20"/>
        </w:rPr>
        <w:t xml:space="preserve"> </w:t>
      </w:r>
    </w:p>
    <w:p>
      <w:pPr>
        <w:pStyle w:val="TextBody"/>
        <w:bidi w:val="0"/>
        <w:jc w:val="center"/>
        <w:rPr>
          <w:rFonts w:ascii="Arial" w:hAnsi="Arial"/>
          <w:color w:val="181717"/>
          <w:sz w:val="16"/>
        </w:rPr>
      </w:pPr>
      <w:r>
        <w:rPr>
          <w:rFonts w:ascii="Arial" w:hAnsi="Arial"/>
          <w:color w:val="181717"/>
          <w:sz w:val="16"/>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slde-ex21_1.htm"/>
      <w:bookmarkStart w:id="42" w:name="kssldeex21_1"/>
      <w:bookmarkEnd w:id="41"/>
      <w:bookmarkEnd w:id="42"/>
      <w:r>
        <w:rPr>
          <w:rFonts w:ascii="Times New Roman" w:hAnsi="Times New Roman"/>
          <w:b/>
          <w:color w:val="000000"/>
          <w:sz w:val="20"/>
        </w:rPr>
        <w:t>Exhibit 21.1</w:t>
      </w:r>
      <w:r>
        <w:br w:type="page"/>
      </w:r>
    </w:p>
    <w:p>
      <w:pPr>
        <w:pStyle w:val="TextBody"/>
        <w:bidi w:val="0"/>
        <w:jc w:val="center"/>
        <w:rPr/>
      </w:pPr>
      <w:hyperlink w:anchor="slde-ex21_1.htm">
        <w:r>
          <w:rPr>
            <w:rStyle w:val="InternetLink"/>
            <w:rFonts w:ascii="Times New Roman" w:hAnsi="Times New Roman"/>
            <w:b/>
            <w:color w:val="000000"/>
            <w:sz w:val="20"/>
            <w:u w:val="single"/>
          </w:rPr>
          <w:t>Subsidiaries of the Registrant</w:t>
        </w:r>
      </w:hyperlink>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list of subsidiaries of which Slide Insurance Holdings, Inc. has controlling interest.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597" w:type="dxa"/>
        <w:jc w:val="left"/>
        <w:tblInd w:w="0" w:type="dxa"/>
        <w:tblLayout w:type="fixed"/>
        <w:tblCellMar>
          <w:top w:w="28" w:type="dxa"/>
          <w:left w:w="28" w:type="dxa"/>
          <w:bottom w:w="28" w:type="dxa"/>
          <w:right w:w="28" w:type="dxa"/>
        </w:tblCellMar>
      </w:tblPr>
      <w:tblGrid>
        <w:gridCol w:w="4156"/>
        <w:gridCol w:w="4441"/>
      </w:tblGrid>
      <w:tr>
        <w:trPr/>
        <w:tc>
          <w:tcPr>
            <w:tcW w:w="415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Name</w:t>
            </w:r>
          </w:p>
        </w:tc>
        <w:tc>
          <w:tcPr>
            <w:tcW w:w="4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State or Country of Incorporation or Organization</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Slide Insurance Co.</w:t>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Florida</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Slide Specialty Insurance Company</w:t>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Rhode Island</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Slide MGA, LLC</w:t>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Florida</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Slide Technologies, LLC</w:t>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Florida</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Slide Reinsurance Holdings, LLC</w:t>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Florida</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 Claims Co.</w:t>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Florida</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Trusted Mitigation Contractors, Inc.</w:t>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Florida</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Clegg Insurance Advisors, LLC D/B/A Homefront</w:t>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Florida</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SIH Technologies LLP</w:t>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India</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SJIG Target, LLC</w:t>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Delaware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slde-ex23_1.htm"/>
      <w:bookmarkStart w:id="44" w:name="kssldeex23_1"/>
      <w:bookmarkEnd w:id="43"/>
      <w:bookmarkEnd w:id="44"/>
      <w:r>
        <w:rPr>
          <w:rFonts w:ascii="Times New Roman" w:hAnsi="Times New Roman"/>
          <w:b/>
          <w:color w:val="000000"/>
          <w:sz w:val="20"/>
        </w:rPr>
        <w:t>Exhibit 23.1</w:t>
      </w:r>
      <w:r>
        <w:br w:type="page"/>
      </w:r>
    </w:p>
    <w:p>
      <w:pPr>
        <w:pStyle w:val="TextBody"/>
        <w:bidi w:val="0"/>
        <w:spacing w:before="0" w:after="720"/>
        <w:jc w:val="center"/>
        <w:rPr/>
      </w:pPr>
      <w:r>
        <w:rPr/>
        <w:t> </w:t>
      </w:r>
    </w:p>
    <w:p>
      <w:pPr>
        <w:pStyle w:val="TextBody"/>
        <w:bidi w:val="0"/>
        <w:spacing w:before="0" w:after="720"/>
        <w:jc w:val="center"/>
        <w:rPr>
          <w:rFonts w:ascii="Arial" w:hAnsi="Arial"/>
          <w:b/>
          <w:color w:val="000000"/>
          <w:sz w:val="24"/>
        </w:rPr>
      </w:pPr>
      <w:r>
        <w:rPr>
          <w:rFonts w:ascii="Arial" w:hAnsi="Arial"/>
          <w:b/>
          <w:color w:val="000000"/>
          <w:sz w:val="24"/>
        </w:rPr>
        <w:t>Consent of Independent Registered Public Accounting Firm</w:t>
      </w:r>
    </w:p>
    <w:p>
      <w:pPr>
        <w:pStyle w:val="TextBody"/>
        <w:bidi w:val="0"/>
        <w:spacing w:before="0" w:after="240"/>
        <w:jc w:val="both"/>
        <w:rPr>
          <w:rFonts w:ascii="Times New Roman" w:hAnsi="Times New Roman"/>
          <w:sz w:val="20"/>
        </w:rPr>
      </w:pPr>
      <w:r>
        <w:rPr>
          <w:rFonts w:ascii="Arial" w:hAnsi="Arial"/>
          <w:color w:val="000000"/>
          <w:sz w:val="20"/>
        </w:rPr>
        <w:t>We consent to the incorporation by reference in the Registration Statement on Form S</w:t>
        <w:noBreakHyphen/>
        <w:t>8 (No. 333-288171) of our report dated February 27, 2026, with respect to the consolidated financial statements and financial statement schedules of Slide Insurance Holdings, Inc. included in this Annual Report on Form 10-K for the year ended December 31, 2025.</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2"/>
        </w:rPr>
        <w:t>/s/ Forvis Mazars, LLP</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Charlotte, North Carolina</w:t>
      </w:r>
    </w:p>
    <w:p>
      <w:pPr>
        <w:pStyle w:val="TextBody"/>
        <w:bidi w:val="0"/>
        <w:jc w:val="left"/>
        <w:rPr>
          <w:rFonts w:ascii="Arial" w:hAnsi="Arial"/>
          <w:color w:val="000000"/>
          <w:sz w:val="20"/>
        </w:rPr>
      </w:pPr>
      <w:r>
        <w:rPr>
          <w:rFonts w:ascii="Arial" w:hAnsi="Arial"/>
          <w:color w:val="000000"/>
          <w:sz w:val="20"/>
        </w:rPr>
        <w:t>February 27, 2026</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slde-ex31_1.htm"/>
      <w:bookmarkStart w:id="46" w:name="kssldeex31_1"/>
      <w:bookmarkEnd w:id="45"/>
      <w:bookmarkEnd w:id="4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Bruce Lucas, Chief Executive Officer,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Slide Insurance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69" w:type="dxa"/>
        <w:jc w:val="left"/>
        <w:tblInd w:w="0" w:type="dxa"/>
        <w:tblLayout w:type="fixed"/>
        <w:tblCellMar>
          <w:top w:w="28" w:type="dxa"/>
          <w:left w:w="28" w:type="dxa"/>
          <w:bottom w:w="28" w:type="dxa"/>
          <w:right w:w="28" w:type="dxa"/>
        </w:tblCellMar>
      </w:tblPr>
      <w:tblGrid>
        <w:gridCol w:w="2086"/>
        <w:gridCol w:w="146"/>
        <w:gridCol w:w="406"/>
        <w:gridCol w:w="213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slde-ex31_2.htm"/>
      <w:bookmarkStart w:id="48" w:name="kssldeex31_2"/>
      <w:bookmarkEnd w:id="47"/>
      <w:bookmarkEnd w:id="4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Anastasios Omiridis, Chief Financial Officer,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Slide Insurance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02" w:type="dxa"/>
        <w:jc w:val="left"/>
        <w:tblInd w:w="0" w:type="dxa"/>
        <w:tblLayout w:type="fixed"/>
        <w:tblCellMar>
          <w:top w:w="28" w:type="dxa"/>
          <w:left w:w="28" w:type="dxa"/>
          <w:bottom w:w="28" w:type="dxa"/>
          <w:right w:w="28" w:type="dxa"/>
        </w:tblCellMar>
      </w:tblPr>
      <w:tblGrid>
        <w:gridCol w:w="2086"/>
        <w:gridCol w:w="109"/>
        <w:gridCol w:w="406"/>
        <w:gridCol w:w="210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Anastasios Omiridis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Anastasios Omiridis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slde-ex32_1.htm"/>
      <w:bookmarkStart w:id="50" w:name="kssldeex32_1"/>
      <w:bookmarkEnd w:id="49"/>
      <w:bookmarkEnd w:id="50"/>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Slide Insurance Holdings, Inc. (the “Company”) on Form 10-K for the period ended December 31, 2025, as filed with the Securities and Exchange Commission on the date hereof (the “Report”), I, Bruce Lucas, Chief Executive Officer of the Company,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32" w:type="dxa"/>
        <w:jc w:val="left"/>
        <w:tblInd w:w="0" w:type="dxa"/>
        <w:tblLayout w:type="fixed"/>
        <w:tblCellMar>
          <w:top w:w="28" w:type="dxa"/>
          <w:left w:w="28" w:type="dxa"/>
          <w:bottom w:w="28" w:type="dxa"/>
          <w:right w:w="28" w:type="dxa"/>
        </w:tblCellMar>
      </w:tblPr>
      <w:tblGrid>
        <w:gridCol w:w="2086"/>
        <w:gridCol w:w="109"/>
        <w:gridCol w:w="406"/>
        <w:gridCol w:w="21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1" w:name="slde-ex32_2.htm"/>
      <w:bookmarkStart w:id="52" w:name="kssldeex32_2"/>
      <w:bookmarkEnd w:id="51"/>
      <w:bookmarkEnd w:id="5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Slide Insurance Holdings, Inc. (the “Company”) on Form 10-K for the period ended December 31, 2025, as filed with the Securities and Exchange Commission on the date hereof (the “Report”), I, Anastasios Omiridis, Chief Financial Officer of the Company,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02" w:type="dxa"/>
        <w:jc w:val="left"/>
        <w:tblInd w:w="0" w:type="dxa"/>
        <w:tblLayout w:type="fixed"/>
        <w:tblCellMar>
          <w:top w:w="28" w:type="dxa"/>
          <w:left w:w="28" w:type="dxa"/>
          <w:bottom w:w="28" w:type="dxa"/>
          <w:right w:w="28" w:type="dxa"/>
        </w:tblCellMar>
      </w:tblPr>
      <w:tblGrid>
        <w:gridCol w:w="2086"/>
        <w:gridCol w:w="109"/>
        <w:gridCol w:w="406"/>
        <w:gridCol w:w="210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Anastasios Omiridis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Anastasios Omiridis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1"/>
        </w:rPr>
      </w:pPr>
      <w:bookmarkStart w:id="53" w:name="slde-ex97_1.htm"/>
      <w:bookmarkStart w:id="54" w:name="kssldeex97_1"/>
      <w:bookmarkEnd w:id="53"/>
      <w:bookmarkEnd w:id="54"/>
      <w:r>
        <w:rPr>
          <w:rFonts w:ascii="Arial" w:hAnsi="Arial"/>
          <w:b/>
          <w:color w:val="000000"/>
          <w:sz w:val="21"/>
        </w:rPr>
        <w:t>Exhibit 97.1</w:t>
      </w:r>
      <w:r>
        <w:br w:type="page"/>
      </w:r>
    </w:p>
    <w:p>
      <w:pPr>
        <w:pStyle w:val="TextBody"/>
        <w:bidi w:val="0"/>
        <w:spacing w:before="0" w:after="200"/>
        <w:jc w:val="center"/>
        <w:rPr>
          <w:rFonts w:ascii="Arial" w:hAnsi="Arial"/>
          <w:b/>
          <w:color w:val="000000"/>
          <w:sz w:val="21"/>
        </w:rPr>
      </w:pPr>
      <w:r>
        <w:rPr>
          <w:rFonts w:ascii="Arial" w:hAnsi="Arial"/>
          <w:b/>
          <w:color w:val="000000"/>
          <w:sz w:val="21"/>
        </w:rPr>
        <w:t>SLIDE INSURANCE HOLDINGS, INC.</w:t>
      </w:r>
    </w:p>
    <w:p>
      <w:pPr>
        <w:pStyle w:val="TextBody"/>
        <w:bidi w:val="0"/>
        <w:spacing w:before="0" w:after="200"/>
        <w:jc w:val="center"/>
        <w:rPr>
          <w:rFonts w:ascii="Arial" w:hAnsi="Arial"/>
          <w:b/>
          <w:color w:val="000000"/>
          <w:sz w:val="21"/>
        </w:rPr>
      </w:pPr>
      <w:r>
        <w:rPr>
          <w:rFonts w:ascii="Arial" w:hAnsi="Arial"/>
          <w:b/>
          <w:color w:val="000000"/>
          <w:sz w:val="21"/>
        </w:rPr>
        <w:t>COMPENSATION RECOUPMENT POLICY</w:t>
      </w:r>
    </w:p>
    <w:p>
      <w:pPr>
        <w:pStyle w:val="TextBody"/>
        <w:bidi w:val="0"/>
        <w:spacing w:before="0" w:after="240"/>
        <w:jc w:val="left"/>
        <w:rPr>
          <w:rFonts w:ascii="Times New Roman" w:hAnsi="Times New Roman"/>
          <w:sz w:val="20"/>
        </w:rPr>
      </w:pPr>
      <w:r>
        <w:rPr>
          <w:rFonts w:ascii="Arial" w:hAnsi="Arial"/>
          <w:color w:val="000000"/>
          <w:sz w:val="21"/>
        </w:rPr>
        <w:t>This Slide Insurance Holdings, Inc. Compensation Recoupment Policy (the “</w:t>
      </w:r>
      <w:r>
        <w:rPr>
          <w:rFonts w:ascii="Arial" w:hAnsi="Arial"/>
          <w:b/>
          <w:color w:val="000000"/>
          <w:sz w:val="21"/>
        </w:rPr>
        <w:t>Policy</w:t>
      </w:r>
      <w:r>
        <w:rPr>
          <w:rFonts w:ascii="Times New Roman" w:hAnsi="Times New Roman"/>
          <w:color w:val="000000"/>
          <w:sz w:val="20"/>
        </w:rPr>
        <w:t>”</w:t>
      </w:r>
      <w:r>
        <w:rPr>
          <w:rFonts w:ascii="Arial" w:hAnsi="Arial"/>
          <w:color w:val="000000"/>
          <w:sz w:val="21"/>
        </w:rPr>
        <w:t>) has been adopted by the Board of Directors (the “</w:t>
      </w:r>
      <w:r>
        <w:rPr>
          <w:rFonts w:ascii="Arial" w:hAnsi="Arial"/>
          <w:b/>
          <w:color w:val="000000"/>
          <w:sz w:val="21"/>
        </w:rPr>
        <w:t>Board</w:t>
      </w:r>
      <w:r>
        <w:rPr>
          <w:rFonts w:ascii="Times New Roman" w:hAnsi="Times New Roman"/>
          <w:color w:val="000000"/>
          <w:sz w:val="20"/>
        </w:rPr>
        <w:t>”</w:t>
      </w:r>
      <w:r>
        <w:rPr>
          <w:rFonts w:ascii="Arial" w:hAnsi="Arial"/>
          <w:color w:val="000000"/>
          <w:sz w:val="21"/>
        </w:rPr>
        <w:t>) of Slide Insurance Holdings, Inc. (the “</w:t>
      </w:r>
      <w:r>
        <w:rPr>
          <w:rFonts w:ascii="Arial" w:hAnsi="Arial"/>
          <w:b/>
          <w:color w:val="000000"/>
          <w:sz w:val="21"/>
        </w:rPr>
        <w:t>Company</w:t>
      </w:r>
      <w:r>
        <w:rPr>
          <w:rFonts w:ascii="Times New Roman" w:hAnsi="Times New Roman"/>
          <w:color w:val="000000"/>
          <w:sz w:val="20"/>
        </w:rPr>
        <w:t>”</w:t>
      </w:r>
      <w:r>
        <w:rPr>
          <w:rFonts w:ascii="Arial" w:hAnsi="Arial"/>
          <w:color w:val="000000"/>
          <w:sz w:val="21"/>
        </w:rPr>
        <w:t>) on May 23, 2025.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(the “</w:t>
      </w:r>
      <w:r>
        <w:rPr>
          <w:rFonts w:ascii="Arial" w:hAnsi="Arial"/>
          <w:b/>
          <w:color w:val="000000"/>
          <w:sz w:val="21"/>
        </w:rPr>
        <w:t>Listing Rule</w:t>
      </w:r>
      <w:r>
        <w:rPr>
          <w:rFonts w:ascii="Times New Roman" w:hAnsi="Times New Roman"/>
          <w:color w:val="000000"/>
          <w:sz w:val="20"/>
        </w:rPr>
        <w:t>”</w:t>
      </w:r>
      <w:r>
        <w:rPr>
          <w:rFonts w:ascii="Arial" w:hAnsi="Arial"/>
          <w:color w:val="000000"/>
          <w:sz w:val="21"/>
        </w:rPr>
        <w:t>).</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1.</w:t>
      </w:r>
    </w:p>
    <w:p>
      <w:pPr>
        <w:pStyle w:val="TextBody"/>
        <w:bidi w:val="0"/>
        <w:spacing w:before="0" w:after="240"/>
        <w:jc w:val="left"/>
        <w:rPr/>
      </w:pPr>
      <w:r>
        <w:rPr>
          <w:rFonts w:ascii="Arial" w:hAnsi="Arial"/>
          <w:color w:val="000000"/>
          <w:sz w:val="21"/>
          <w:u w:val="single"/>
        </w:rPr>
        <w:t>Definitions</w:t>
      </w:r>
      <w:r>
        <w:rPr>
          <w:rFonts w:ascii="Arial" w:hAnsi="Arial"/>
          <w:color w:val="000000"/>
          <w:sz w:val="21"/>
        </w:rPr>
        <w:t xml:space="preserve">. For the purposes of this Policy, the following terms shall have the meanings set forth below. </w:t>
      </w:r>
    </w:p>
    <w:p>
      <w:pPr>
        <w:pStyle w:val="TextBody"/>
        <w:bidi w:val="0"/>
        <w:spacing w:before="0" w:after="240"/>
        <w:jc w:val="left"/>
        <w:rPr>
          <w:rFonts w:ascii="Arial" w:hAnsi="Arial"/>
          <w:color w:val="000000"/>
          <w:sz w:val="21"/>
        </w:rPr>
      </w:pPr>
      <w:r>
        <w:rPr>
          <w:rFonts w:ascii="Arial" w:hAnsi="Arial"/>
          <w:color w:val="000000"/>
          <w:sz w:val="21"/>
        </w:rPr>
        <w:t>(a)</w:t>
      </w:r>
    </w:p>
    <w:p>
      <w:pPr>
        <w:pStyle w:val="TextBody"/>
        <w:bidi w:val="0"/>
        <w:spacing w:before="0" w:after="240"/>
        <w:jc w:val="left"/>
        <w:rPr/>
      </w:pPr>
      <w:r>
        <w:rPr>
          <w:color w:val="000000"/>
        </w:rPr>
        <w:t>“</w:t>
      </w:r>
      <w:r>
        <w:rPr>
          <w:rFonts w:ascii="Arial" w:hAnsi="Arial"/>
          <w:b/>
          <w:color w:val="000000"/>
          <w:sz w:val="21"/>
        </w:rPr>
        <w:t>Committee</w:t>
      </w:r>
      <w:r>
        <w:rPr>
          <w:color w:val="000000"/>
        </w:rPr>
        <w:t xml:space="preserve">” </w:t>
      </w:r>
      <w:r>
        <w:rPr>
          <w:rFonts w:ascii="Arial" w:hAnsi="Arial"/>
          <w:color w:val="000000"/>
          <w:sz w:val="21"/>
        </w:rPr>
        <w:t>means the compensation committee of the Board of Directors (the “</w:t>
      </w:r>
      <w:r>
        <w:rPr>
          <w:rFonts w:ascii="Arial" w:hAnsi="Arial"/>
          <w:b/>
          <w:color w:val="000000"/>
          <w:sz w:val="21"/>
        </w:rPr>
        <w:t>Board</w:t>
      </w:r>
      <w:r>
        <w:rPr>
          <w:color w:val="000000"/>
        </w:rPr>
        <w:t>”</w:t>
      </w:r>
      <w:r>
        <w:rPr>
          <w:rFonts w:ascii="Arial" w:hAnsi="Arial"/>
          <w:color w:val="000000"/>
          <w:sz w:val="21"/>
        </w:rPr>
        <w:t xml:space="preserve">) or any successor committee thereof.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 </w:t>
      </w:r>
    </w:p>
    <w:p>
      <w:pPr>
        <w:pStyle w:val="TextBody"/>
        <w:bidi w:val="0"/>
        <w:spacing w:before="0" w:after="240"/>
        <w:jc w:val="left"/>
        <w:rPr>
          <w:rFonts w:ascii="Arial" w:hAnsi="Arial"/>
          <w:color w:val="000000"/>
          <w:sz w:val="21"/>
        </w:rPr>
      </w:pPr>
      <w:r>
        <w:rPr>
          <w:rFonts w:ascii="Arial" w:hAnsi="Arial"/>
          <w:color w:val="000000"/>
          <w:sz w:val="21"/>
        </w:rPr>
        <w:t>(b)</w:t>
      </w:r>
    </w:p>
    <w:p>
      <w:pPr>
        <w:pStyle w:val="TextBody"/>
        <w:bidi w:val="0"/>
        <w:spacing w:before="0" w:after="240"/>
        <w:jc w:val="left"/>
        <w:rPr/>
      </w:pPr>
      <w:r>
        <w:rPr>
          <w:color w:val="000000"/>
        </w:rPr>
        <w:t>“</w:t>
      </w:r>
      <w:r>
        <w:rPr>
          <w:rFonts w:ascii="Arial" w:hAnsi="Arial"/>
          <w:b/>
          <w:color w:val="000000"/>
          <w:sz w:val="21"/>
        </w:rPr>
        <w:t>Covered Compensation</w:t>
      </w:r>
      <w:r>
        <w:rPr>
          <w:color w:val="000000"/>
        </w:rPr>
        <w:t xml:space="preserve">” </w:t>
      </w:r>
      <w:r>
        <w:rPr>
          <w:rFonts w:ascii="Arial" w:hAnsi="Arial"/>
          <w:color w:val="000000"/>
          <w:sz w:val="21"/>
        </w:rPr>
        <w:t xml:space="preserve">means any Incentive-based Compensation “received” by a Covered Executive during the applicable Recoupment Period; </w:t>
      </w:r>
      <w:r>
        <w:rPr>
          <w:rFonts w:ascii="Arial" w:hAnsi="Arial"/>
          <w:i/>
          <w:color w:val="000000"/>
          <w:sz w:val="21"/>
        </w:rPr>
        <w:t>provided</w:t>
      </w:r>
      <w:r>
        <w:rPr>
          <w:color w:val="000000"/>
        </w:rPr>
        <w:t xml:space="preserve"> </w:t>
      </w:r>
      <w:r>
        <w:rPr>
          <w:rFonts w:ascii="Arial" w:hAnsi="Arial"/>
          <w:color w:val="000000"/>
          <w:sz w:val="21"/>
        </w:rPr>
        <w:t>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Arial" w:hAnsi="Arial"/>
          <w:color w:val="000000"/>
          <w:sz w:val="21"/>
        </w:rPr>
      </w:pPr>
      <w:r>
        <w:rPr>
          <w:rFonts w:ascii="Arial" w:hAnsi="Arial"/>
          <w:color w:val="000000"/>
          <w:sz w:val="21"/>
        </w:rPr>
        <w:t xml:space="preserve">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Arial" w:hAnsi="Arial"/>
          <w:color w:val="000000"/>
          <w:sz w:val="21"/>
        </w:rPr>
      </w:pPr>
      <w:r>
        <w:rPr>
          <w:rFonts w:ascii="Arial" w:hAnsi="Arial"/>
          <w:color w:val="000000"/>
          <w:sz w:val="21"/>
        </w:rPr>
        <w:t xml:space="preserve">such Covered Executive served as an Executive Officer at any time during the performance period applicable to such Incentive-based Compensation. </w:t>
      </w:r>
    </w:p>
    <w:p>
      <w:pPr>
        <w:pStyle w:val="TextBody"/>
        <w:bidi w:val="0"/>
        <w:spacing w:before="0" w:after="240"/>
        <w:jc w:val="left"/>
        <w:rPr>
          <w:rFonts w:ascii="Times New Roman" w:hAnsi="Times New Roman"/>
          <w:sz w:val="20"/>
        </w:rPr>
      </w:pPr>
      <w:r>
        <w:rPr>
          <w:rFonts w:ascii="Arial" w:hAnsi="Arial"/>
          <w:color w:val="000000"/>
          <w:sz w:val="21"/>
        </w:rPr>
        <w:t>For purposes of this Policy, Incentive-based Compensation is “</w:t>
      </w:r>
      <w:r>
        <w:rPr>
          <w:rFonts w:ascii="Arial" w:hAnsi="Arial"/>
          <w:b/>
          <w:color w:val="000000"/>
          <w:sz w:val="21"/>
        </w:rPr>
        <w:t>received</w:t>
      </w:r>
      <w:r>
        <w:rPr>
          <w:rFonts w:ascii="Times New Roman" w:hAnsi="Times New Roman"/>
          <w:color w:val="000000"/>
          <w:sz w:val="20"/>
        </w:rPr>
        <w:t xml:space="preserve">” </w:t>
      </w:r>
      <w:r>
        <w:rPr>
          <w:rFonts w:ascii="Arial" w:hAnsi="Arial"/>
          <w:color w:val="000000"/>
          <w:sz w:val="21"/>
        </w:rPr>
        <w:t>by a Covered Executive during the fiscal period in which the Financial Reporting Measure applicable to such Incentive-based Compensation (or portion thereof) is attained, even if the payment or grant of such Incentive-based Compensation is made thereafter.</w:t>
      </w:r>
    </w:p>
    <w:p>
      <w:pPr>
        <w:pStyle w:val="TextBody"/>
        <w:bidi w:val="0"/>
        <w:spacing w:before="0" w:after="240"/>
        <w:jc w:val="left"/>
        <w:rPr>
          <w:rFonts w:ascii="Arial" w:hAnsi="Arial"/>
          <w:color w:val="000000"/>
          <w:sz w:val="21"/>
        </w:rPr>
      </w:pPr>
      <w:r>
        <w:rPr>
          <w:rFonts w:ascii="Arial" w:hAnsi="Arial"/>
          <w:color w:val="000000"/>
          <w:sz w:val="21"/>
        </w:rPr>
        <w:t>(c)</w:t>
      </w:r>
    </w:p>
    <w:p>
      <w:pPr>
        <w:pStyle w:val="TextBody"/>
        <w:bidi w:val="0"/>
        <w:spacing w:before="0" w:after="240"/>
        <w:jc w:val="left"/>
        <w:rPr/>
      </w:pPr>
      <w:r>
        <w:rPr>
          <w:color w:val="000000"/>
        </w:rPr>
        <w:t>“</w:t>
      </w:r>
      <w:r>
        <w:rPr>
          <w:rFonts w:ascii="Arial" w:hAnsi="Arial"/>
          <w:b/>
          <w:color w:val="000000"/>
          <w:sz w:val="21"/>
        </w:rPr>
        <w:t>Covered Executive</w:t>
      </w:r>
      <w:r>
        <w:rPr>
          <w:color w:val="000000"/>
        </w:rPr>
        <w:t xml:space="preserve">” </w:t>
      </w:r>
      <w:r>
        <w:rPr>
          <w:rFonts w:ascii="Arial" w:hAnsi="Arial"/>
          <w:color w:val="000000"/>
          <w:sz w:val="21"/>
        </w:rPr>
        <w:t>means any (i) current or former Executive Officer and (ii) any other employee of the Company and its subsidiaries designated by the Committee as subject to this Policy from time to time.</w:t>
      </w:r>
    </w:p>
    <w:p>
      <w:pPr>
        <w:pStyle w:val="TextBody"/>
        <w:bidi w:val="0"/>
        <w:spacing w:before="0" w:after="240"/>
        <w:jc w:val="left"/>
        <w:rPr>
          <w:rFonts w:ascii="Arial" w:hAnsi="Arial"/>
          <w:color w:val="000000"/>
          <w:sz w:val="21"/>
        </w:rPr>
      </w:pPr>
      <w:r>
        <w:rPr>
          <w:rFonts w:ascii="Arial" w:hAnsi="Arial"/>
          <w:color w:val="000000"/>
          <w:sz w:val="21"/>
        </w:rPr>
        <w:t>(d)</w:t>
      </w:r>
    </w:p>
    <w:p>
      <w:pPr>
        <w:pStyle w:val="TextBody"/>
        <w:bidi w:val="0"/>
        <w:spacing w:before="0" w:after="240"/>
        <w:jc w:val="left"/>
        <w:rPr/>
      </w:pPr>
      <w:r>
        <w:rPr>
          <w:color w:val="000000"/>
        </w:rPr>
        <w:t>“</w:t>
      </w:r>
      <w:r>
        <w:rPr>
          <w:rFonts w:ascii="Arial" w:hAnsi="Arial"/>
          <w:b/>
          <w:color w:val="000000"/>
          <w:sz w:val="21"/>
        </w:rPr>
        <w:t>Effective Date</w:t>
      </w:r>
      <w:r>
        <w:rPr>
          <w:color w:val="000000"/>
        </w:rPr>
        <w:t xml:space="preserve">” </w:t>
      </w:r>
      <w:r>
        <w:rPr>
          <w:rFonts w:ascii="Arial" w:hAnsi="Arial"/>
          <w:color w:val="000000"/>
          <w:sz w:val="21"/>
        </w:rPr>
        <w:t xml:space="preserve">means October 2, 2023. </w:t>
      </w:r>
    </w:p>
    <w:p>
      <w:pPr>
        <w:pStyle w:val="TextBody"/>
        <w:bidi w:val="0"/>
        <w:spacing w:before="0" w:after="240"/>
        <w:jc w:val="left"/>
        <w:rPr>
          <w:rFonts w:ascii="Arial" w:hAnsi="Arial"/>
          <w:color w:val="000000"/>
          <w:sz w:val="21"/>
        </w:rPr>
      </w:pPr>
      <w:r>
        <w:rPr>
          <w:rFonts w:ascii="Arial" w:hAnsi="Arial"/>
          <w:color w:val="000000"/>
          <w:sz w:val="21"/>
        </w:rPr>
        <w:t>(e)</w:t>
      </w:r>
    </w:p>
    <w:p>
      <w:pPr>
        <w:pStyle w:val="TextBody"/>
        <w:bidi w:val="0"/>
        <w:spacing w:before="0" w:after="240"/>
        <w:jc w:val="left"/>
        <w:rPr/>
      </w:pPr>
      <w:r>
        <w:rPr>
          <w:color w:val="000000"/>
        </w:rPr>
        <w:t>“</w:t>
      </w:r>
      <w:r>
        <w:rPr>
          <w:rFonts w:ascii="Arial" w:hAnsi="Arial"/>
          <w:b/>
          <w:color w:val="000000"/>
          <w:sz w:val="21"/>
        </w:rPr>
        <w:t>Exchange Act</w:t>
      </w:r>
      <w:r>
        <w:rPr>
          <w:color w:val="000000"/>
        </w:rPr>
        <w:t xml:space="preserve">” </w:t>
      </w:r>
      <w:r>
        <w:rPr>
          <w:rFonts w:ascii="Arial" w:hAnsi="Arial"/>
          <w:color w:val="000000"/>
          <w:sz w:val="21"/>
        </w:rPr>
        <w:t xml:space="preserve">means the U.S. Securities Exchange Act of 1934, as amended. </w:t>
      </w:r>
    </w:p>
    <w:p>
      <w:pPr>
        <w:pStyle w:val="TextBody"/>
        <w:bidi w:val="0"/>
        <w:spacing w:before="0" w:after="240"/>
        <w:jc w:val="left"/>
        <w:rPr>
          <w:rFonts w:ascii="Arial" w:hAnsi="Arial"/>
          <w:color w:val="000000"/>
          <w:sz w:val="21"/>
        </w:rPr>
      </w:pPr>
      <w:r>
        <w:rPr>
          <w:rFonts w:ascii="Arial" w:hAnsi="Arial"/>
          <w:color w:val="000000"/>
          <w:sz w:val="21"/>
        </w:rPr>
        <w:t>(f)</w:t>
      </w:r>
    </w:p>
    <w:p>
      <w:pPr>
        <w:pStyle w:val="TextBody"/>
        <w:bidi w:val="0"/>
        <w:spacing w:before="0" w:after="240"/>
        <w:jc w:val="left"/>
        <w:rPr/>
      </w:pPr>
      <w:r>
        <w:rPr>
          <w:color w:val="000000"/>
        </w:rPr>
        <w:t>“</w:t>
      </w:r>
      <w:r>
        <w:rPr>
          <w:rFonts w:ascii="Arial" w:hAnsi="Arial"/>
          <w:b/>
          <w:color w:val="000000"/>
          <w:sz w:val="21"/>
        </w:rPr>
        <w:t>Executive Officer</w:t>
      </w:r>
      <w:r>
        <w:rPr>
          <w:color w:val="000000"/>
        </w:rPr>
        <w:t xml:space="preserve">” </w:t>
      </w:r>
      <w:r>
        <w:rPr>
          <w:rFonts w:ascii="Arial" w:hAnsi="Arial"/>
          <w:color w:val="000000"/>
          <w:sz w:val="21"/>
        </w:rPr>
        <w:t xml:space="preserve">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w:t>
      </w:r>
    </w:p>
    <w:p>
      <w:pPr>
        <w:pStyle w:val="TextBody"/>
        <w:bidi w:val="0"/>
        <w:jc w:val="center"/>
        <w:rPr>
          <w:rFonts w:ascii="Arial" w:hAnsi="Arial"/>
          <w:color w:val="000000"/>
          <w:sz w:val="21"/>
        </w:rPr>
      </w:pPr>
      <w:r>
        <w:rPr>
          <w:rFonts w:ascii="Arial" w:hAnsi="Arial"/>
          <w:color w:val="000000"/>
          <w:sz w:val="21"/>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Arial" w:hAnsi="Arial"/>
          <w:color w:val="000000"/>
          <w:sz w:val="21"/>
        </w:rPr>
        <w:t>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r>
        <w:rPr>
          <w:color w:val="000000"/>
        </w:rPr>
        <w:t xml:space="preserve"> </w:t>
      </w:r>
    </w:p>
    <w:p>
      <w:pPr>
        <w:pStyle w:val="TextBody"/>
        <w:bidi w:val="0"/>
        <w:spacing w:before="0" w:after="240"/>
        <w:jc w:val="left"/>
        <w:rPr>
          <w:rFonts w:ascii="Arial" w:hAnsi="Arial"/>
          <w:color w:val="000000"/>
          <w:sz w:val="21"/>
        </w:rPr>
      </w:pPr>
      <w:r>
        <w:rPr>
          <w:rFonts w:ascii="Arial" w:hAnsi="Arial"/>
          <w:color w:val="000000"/>
          <w:sz w:val="21"/>
        </w:rPr>
        <w:t>(g)</w:t>
      </w:r>
    </w:p>
    <w:p>
      <w:pPr>
        <w:pStyle w:val="TextBody"/>
        <w:bidi w:val="0"/>
        <w:spacing w:before="0" w:after="240"/>
        <w:jc w:val="left"/>
        <w:rPr/>
      </w:pPr>
      <w:r>
        <w:rPr>
          <w:color w:val="000000"/>
        </w:rPr>
        <w:t>“</w:t>
      </w:r>
      <w:r>
        <w:rPr>
          <w:rFonts w:ascii="Arial" w:hAnsi="Arial"/>
          <w:b/>
          <w:color w:val="000000"/>
          <w:sz w:val="21"/>
        </w:rPr>
        <w:t>Financial Reporting Measure</w:t>
      </w:r>
      <w:r>
        <w:rPr>
          <w:color w:val="000000"/>
        </w:rPr>
        <w:t xml:space="preserve">” </w:t>
      </w:r>
      <w:r>
        <w:rPr>
          <w:rFonts w:ascii="Arial" w:hAnsi="Arial"/>
          <w:color w:val="000000"/>
          <w:sz w:val="21"/>
        </w:rPr>
        <w:t xml:space="preserve">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 </w:t>
      </w:r>
    </w:p>
    <w:p>
      <w:pPr>
        <w:pStyle w:val="TextBody"/>
        <w:bidi w:val="0"/>
        <w:spacing w:before="0" w:after="240"/>
        <w:jc w:val="left"/>
        <w:rPr>
          <w:rFonts w:ascii="Arial" w:hAnsi="Arial"/>
          <w:color w:val="000000"/>
          <w:sz w:val="21"/>
        </w:rPr>
      </w:pPr>
      <w:r>
        <w:rPr>
          <w:rFonts w:ascii="Arial" w:hAnsi="Arial"/>
          <w:color w:val="000000"/>
          <w:sz w:val="21"/>
        </w:rPr>
        <w:t>(h)</w:t>
      </w:r>
    </w:p>
    <w:p>
      <w:pPr>
        <w:pStyle w:val="TextBody"/>
        <w:bidi w:val="0"/>
        <w:spacing w:before="0" w:after="240"/>
        <w:jc w:val="left"/>
        <w:rPr/>
      </w:pPr>
      <w:r>
        <w:rPr>
          <w:color w:val="000000"/>
        </w:rPr>
        <w:t>“</w:t>
      </w:r>
      <w:r>
        <w:rPr>
          <w:rFonts w:ascii="Arial" w:hAnsi="Arial"/>
          <w:b/>
          <w:color w:val="000000"/>
          <w:sz w:val="21"/>
        </w:rPr>
        <w:t>Financial Restatement</w:t>
      </w:r>
      <w:r>
        <w:rPr>
          <w:color w:val="000000"/>
        </w:rPr>
        <w:t xml:space="preserve">” </w:t>
      </w:r>
      <w:r>
        <w:rPr>
          <w:rFonts w:ascii="Arial" w:hAnsi="Arial"/>
          <w:color w:val="000000"/>
          <w:sz w:val="21"/>
        </w:rPr>
        <w:t xml:space="preserve">means a restatement of the Company’s financial statements due to the Company’s material noncompliance with any financial reporting requirement under U.S. federal securities laws that is required in order to correct: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Arial" w:hAnsi="Arial"/>
          <w:color w:val="000000"/>
          <w:sz w:val="21"/>
        </w:rPr>
      </w:pPr>
      <w:r>
        <w:rPr>
          <w:rFonts w:ascii="Arial" w:hAnsi="Arial"/>
          <w:color w:val="000000"/>
          <w:sz w:val="21"/>
        </w:rPr>
        <w:t xml:space="preserve">an error in previously issued financial statements that is material to the previously issued financial statements; or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Arial" w:hAnsi="Arial"/>
          <w:color w:val="000000"/>
          <w:sz w:val="21"/>
        </w:rPr>
      </w:pPr>
      <w:r>
        <w:rPr>
          <w:rFonts w:ascii="Arial" w:hAnsi="Arial"/>
          <w:color w:val="000000"/>
          <w:sz w:val="21"/>
        </w:rPr>
        <w:t xml:space="preserve">an error that would result in a material misstatement if the error were (A) corrected in the current period or (B) left uncorrected in the current period. </w:t>
      </w:r>
    </w:p>
    <w:p>
      <w:pPr>
        <w:pStyle w:val="TextBody"/>
        <w:bidi w:val="0"/>
        <w:spacing w:before="0" w:after="240"/>
        <w:jc w:val="left"/>
        <w:rPr>
          <w:rFonts w:ascii="Arial" w:hAnsi="Arial"/>
          <w:color w:val="000000"/>
          <w:sz w:val="21"/>
        </w:rPr>
      </w:pPr>
      <w:r>
        <w:rPr>
          <w:rFonts w:ascii="Arial" w:hAnsi="Arial"/>
          <w:color w:val="000000"/>
          <w:sz w:val="21"/>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pStyle w:val="TextBody"/>
        <w:bidi w:val="0"/>
        <w:spacing w:before="0" w:after="240"/>
        <w:jc w:val="left"/>
        <w:rPr>
          <w:rFonts w:ascii="Arial" w:hAnsi="Arial"/>
          <w:color w:val="000000"/>
          <w:sz w:val="21"/>
        </w:rPr>
      </w:pPr>
      <w:r>
        <w:rPr>
          <w:rFonts w:ascii="Arial" w:hAnsi="Arial"/>
          <w:color w:val="000000"/>
          <w:sz w:val="21"/>
        </w:rPr>
        <w:t>(i)</w:t>
      </w:r>
    </w:p>
    <w:p>
      <w:pPr>
        <w:pStyle w:val="TextBody"/>
        <w:bidi w:val="0"/>
        <w:spacing w:before="0" w:after="240"/>
        <w:jc w:val="left"/>
        <w:rPr/>
      </w:pPr>
      <w:r>
        <w:rPr>
          <w:color w:val="000000"/>
        </w:rPr>
        <w:t>“</w:t>
      </w:r>
      <w:r>
        <w:rPr>
          <w:rFonts w:ascii="Arial" w:hAnsi="Arial"/>
          <w:b/>
          <w:color w:val="000000"/>
          <w:sz w:val="21"/>
        </w:rPr>
        <w:t>Incentive-based Compensation”</w:t>
      </w:r>
      <w:r>
        <w:rPr>
          <w:color w:val="000000"/>
        </w:rPr>
        <w:t xml:space="preserve"> </w:t>
      </w:r>
      <w:r>
        <w:rPr>
          <w:rFonts w:ascii="Arial" w:hAnsi="Arial"/>
          <w:color w:val="000000"/>
          <w:sz w:val="21"/>
        </w:rPr>
        <w:t>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r>
        <w:rPr>
          <w:color w:val="000000"/>
        </w:rPr>
        <w:t xml:space="preserve"> </w:t>
      </w:r>
    </w:p>
    <w:p>
      <w:pPr>
        <w:pStyle w:val="TextBody"/>
        <w:bidi w:val="0"/>
        <w:spacing w:before="0" w:after="240"/>
        <w:jc w:val="left"/>
        <w:rPr>
          <w:rFonts w:ascii="Arial" w:hAnsi="Arial"/>
          <w:color w:val="000000"/>
          <w:sz w:val="21"/>
        </w:rPr>
      </w:pPr>
      <w:r>
        <w:rPr>
          <w:rFonts w:ascii="Arial" w:hAnsi="Arial"/>
          <w:color w:val="000000"/>
          <w:sz w:val="21"/>
        </w:rPr>
        <w:t>(j)</w:t>
      </w:r>
    </w:p>
    <w:p>
      <w:pPr>
        <w:pStyle w:val="TextBody"/>
        <w:bidi w:val="0"/>
        <w:spacing w:before="0" w:after="240"/>
        <w:jc w:val="left"/>
        <w:rPr/>
      </w:pPr>
      <w:r>
        <w:rPr>
          <w:color w:val="000000"/>
        </w:rPr>
        <w:t>“</w:t>
      </w:r>
      <w:r>
        <w:rPr>
          <w:rFonts w:ascii="Arial" w:hAnsi="Arial"/>
          <w:b/>
          <w:color w:val="000000"/>
          <w:sz w:val="21"/>
        </w:rPr>
        <w:t>Nasdaq</w:t>
      </w:r>
      <w:r>
        <w:rPr>
          <w:color w:val="000000"/>
        </w:rPr>
        <w:t xml:space="preserve">” </w:t>
      </w:r>
      <w:r>
        <w:rPr>
          <w:rFonts w:ascii="Arial" w:hAnsi="Arial"/>
          <w:color w:val="000000"/>
          <w:sz w:val="21"/>
        </w:rPr>
        <w:t>means the NASDAQ Global Select Market, or any successor thereof.</w:t>
      </w:r>
    </w:p>
    <w:p>
      <w:pPr>
        <w:pStyle w:val="TextBody"/>
        <w:bidi w:val="0"/>
        <w:spacing w:before="0" w:after="240"/>
        <w:jc w:val="left"/>
        <w:rPr>
          <w:rFonts w:ascii="Arial" w:hAnsi="Arial"/>
          <w:color w:val="000000"/>
          <w:sz w:val="21"/>
        </w:rPr>
      </w:pPr>
      <w:r>
        <w:rPr>
          <w:rFonts w:ascii="Arial" w:hAnsi="Arial"/>
          <w:color w:val="000000"/>
          <w:sz w:val="21"/>
        </w:rPr>
        <w:t>(k)</w:t>
      </w:r>
    </w:p>
    <w:p>
      <w:pPr>
        <w:pStyle w:val="TextBody"/>
        <w:bidi w:val="0"/>
        <w:spacing w:before="0" w:after="240"/>
        <w:jc w:val="left"/>
        <w:rPr/>
      </w:pPr>
      <w:r>
        <w:rPr>
          <w:color w:val="000000"/>
        </w:rPr>
        <w:t>“</w:t>
      </w:r>
      <w:r>
        <w:rPr>
          <w:rFonts w:ascii="Arial" w:hAnsi="Arial"/>
          <w:b/>
          <w:color w:val="000000"/>
          <w:sz w:val="21"/>
        </w:rPr>
        <w:t>Recoupment Period</w:t>
      </w:r>
      <w:r>
        <w:rPr>
          <w:color w:val="000000"/>
        </w:rPr>
        <w:t xml:space="preserve">” </w:t>
      </w:r>
      <w:r>
        <w:rPr>
          <w:rFonts w:ascii="Arial" w:hAnsi="Arial"/>
          <w:color w:val="000000"/>
          <w:sz w:val="21"/>
        </w:rPr>
        <w:t xml:space="preserve">means the three (3)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(3) completed fiscal years, </w:t>
      </w:r>
      <w:r>
        <w:rPr>
          <w:rFonts w:ascii="Arial" w:hAnsi="Arial"/>
          <w:i/>
          <w:color w:val="000000"/>
          <w:sz w:val="21"/>
        </w:rPr>
        <w:t>provided</w:t>
      </w:r>
      <w:r>
        <w:rPr>
          <w:color w:val="000000"/>
        </w:rPr>
        <w:t xml:space="preserve"> </w:t>
      </w:r>
      <w:r>
        <w:rPr>
          <w:rFonts w:ascii="Arial" w:hAnsi="Arial"/>
          <w:color w:val="000000"/>
          <w:sz w:val="21"/>
        </w:rPr>
        <w:t xml:space="preserve">that a transition period between the last day of the Company’s previous fiscal year end and the first day of its new fiscal year that comprises a period of nine (9) to twelve (12) months would be deemed a completed fiscal year. </w:t>
      </w:r>
    </w:p>
    <w:p>
      <w:pPr>
        <w:pStyle w:val="TextBody"/>
        <w:bidi w:val="0"/>
        <w:jc w:val="center"/>
        <w:rPr>
          <w:rFonts w:ascii="Arial" w:hAnsi="Arial"/>
          <w:color w:val="000000"/>
          <w:sz w:val="21"/>
        </w:rPr>
      </w:pPr>
      <w:r>
        <w:rPr>
          <w:rFonts w:ascii="Arial" w:hAnsi="Arial"/>
          <w:color w:val="000000"/>
          <w:sz w:val="21"/>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1"/>
        </w:rPr>
      </w:pPr>
      <w:r>
        <w:rPr>
          <w:rFonts w:ascii="Arial" w:hAnsi="Arial"/>
          <w:color w:val="000000"/>
          <w:sz w:val="21"/>
        </w:rPr>
        <w:t>(l)</w:t>
      </w:r>
    </w:p>
    <w:p>
      <w:pPr>
        <w:pStyle w:val="TextBody"/>
        <w:bidi w:val="0"/>
        <w:spacing w:before="0" w:after="240"/>
        <w:jc w:val="left"/>
        <w:rPr/>
      </w:pPr>
      <w:r>
        <w:rPr>
          <w:color w:val="000000"/>
        </w:rPr>
        <w:t>“</w:t>
      </w:r>
      <w:r>
        <w:rPr>
          <w:rFonts w:ascii="Arial" w:hAnsi="Arial"/>
          <w:b/>
          <w:color w:val="000000"/>
          <w:sz w:val="21"/>
        </w:rPr>
        <w:t>Recoupment Trigger Date</w:t>
      </w:r>
      <w:r>
        <w:rPr>
          <w:color w:val="000000"/>
        </w:rPr>
        <w:t xml:space="preserve">” </w:t>
      </w:r>
      <w:r>
        <w:rPr>
          <w:rFonts w:ascii="Arial" w:hAnsi="Arial"/>
          <w:color w:val="000000"/>
          <w:sz w:val="21"/>
        </w:rPr>
        <w:t>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2.</w:t>
      </w:r>
    </w:p>
    <w:p>
      <w:pPr>
        <w:pStyle w:val="TextBody"/>
        <w:bidi w:val="0"/>
        <w:spacing w:before="0" w:after="240"/>
        <w:jc w:val="left"/>
        <w:rPr/>
      </w:pPr>
      <w:r>
        <w:rPr>
          <w:rFonts w:ascii="Arial" w:hAnsi="Arial"/>
          <w:color w:val="000000"/>
          <w:sz w:val="21"/>
          <w:u w:val="single"/>
        </w:rPr>
        <w:t>Recoupment of Erroneously Awarded Compensation</w:t>
      </w:r>
      <w:r>
        <w:rPr>
          <w:rFonts w:ascii="Arial" w:hAnsi="Arial"/>
          <w:color w:val="000000"/>
          <w:sz w:val="21"/>
        </w:rPr>
        <w:t xml:space="preserve">. </w:t>
      </w:r>
    </w:p>
    <w:p>
      <w:pPr>
        <w:pStyle w:val="TextBody"/>
        <w:bidi w:val="0"/>
        <w:spacing w:before="0" w:after="240"/>
        <w:jc w:val="left"/>
        <w:rPr>
          <w:rFonts w:ascii="Arial" w:hAnsi="Arial"/>
          <w:color w:val="000000"/>
          <w:sz w:val="21"/>
        </w:rPr>
      </w:pPr>
      <w:r>
        <w:rPr>
          <w:rFonts w:ascii="Arial" w:hAnsi="Arial"/>
          <w:color w:val="000000"/>
          <w:sz w:val="21"/>
        </w:rPr>
        <w:t>(a)</w:t>
      </w:r>
    </w:p>
    <w:p>
      <w:pPr>
        <w:pStyle w:val="TextBody"/>
        <w:bidi w:val="0"/>
        <w:spacing w:before="0" w:after="240"/>
        <w:jc w:val="left"/>
        <w:rPr/>
      </w:pPr>
      <w:r>
        <w:rPr>
          <w:rFonts w:ascii="Arial" w:hAnsi="Arial"/>
          <w:color w:val="000000"/>
          <w:sz w:val="21"/>
        </w:rPr>
        <w:t>In the event of a Financial Restatement, if the amount of any Covered Compensation received by a Covered Executive (the “</w:t>
      </w:r>
      <w:r>
        <w:rPr>
          <w:rFonts w:ascii="Arial" w:hAnsi="Arial"/>
          <w:b/>
          <w:color w:val="000000"/>
          <w:sz w:val="21"/>
        </w:rPr>
        <w:t>Awarded Compensation</w:t>
      </w:r>
      <w:r>
        <w:rPr>
          <w:color w:val="000000"/>
        </w:rPr>
        <w:t>”</w:t>
      </w:r>
      <w:r>
        <w:rPr>
          <w:rFonts w:ascii="Arial" w:hAnsi="Arial"/>
          <w:color w:val="000000"/>
          <w:sz w:val="21"/>
        </w:rPr>
        <w:t>) exceeds the amount of such Covered Compensation that would have otherwise been received by such Covered Executive if calculated based on the Financial Restatement (the “</w:t>
      </w:r>
      <w:r>
        <w:rPr>
          <w:rFonts w:ascii="Arial" w:hAnsi="Arial"/>
          <w:b/>
          <w:color w:val="000000"/>
          <w:sz w:val="21"/>
        </w:rPr>
        <w:t>Adjusted Compensation</w:t>
      </w:r>
      <w:r>
        <w:rPr>
          <w:color w:val="000000"/>
        </w:rPr>
        <w:t>”</w:t>
      </w:r>
      <w:r>
        <w:rPr>
          <w:rFonts w:ascii="Arial" w:hAnsi="Arial"/>
          <w:color w:val="000000"/>
          <w:sz w:val="21"/>
        </w:rPr>
        <w:t>), the Company shall reasonably promptly recover from such Covered Executive an amount equal to the excess of the Awarded Compensation over the Adjusted Compensation, each calculated on a pre-tax basis (such excess amount, the “</w:t>
      </w:r>
      <w:r>
        <w:rPr>
          <w:rFonts w:ascii="Arial" w:hAnsi="Arial"/>
          <w:b/>
          <w:color w:val="000000"/>
          <w:sz w:val="21"/>
        </w:rPr>
        <w:t>Erroneously Awarded Compensation</w:t>
      </w:r>
      <w:r>
        <w:rPr>
          <w:color w:val="000000"/>
        </w:rPr>
        <w:t>”</w:t>
      </w:r>
      <w:r>
        <w:rPr>
          <w:rFonts w:ascii="Arial" w:hAnsi="Arial"/>
          <w:color w:val="000000"/>
          <w:sz w:val="21"/>
        </w:rPr>
        <w:t xml:space="preserve">). </w:t>
      </w:r>
    </w:p>
    <w:p>
      <w:pPr>
        <w:pStyle w:val="TextBody"/>
        <w:bidi w:val="0"/>
        <w:spacing w:before="0" w:after="240"/>
        <w:jc w:val="left"/>
        <w:rPr>
          <w:rFonts w:ascii="Arial" w:hAnsi="Arial"/>
          <w:color w:val="000000"/>
          <w:sz w:val="21"/>
        </w:rPr>
      </w:pPr>
      <w:r>
        <w:rPr>
          <w:rFonts w:ascii="Arial" w:hAnsi="Arial"/>
          <w:color w:val="000000"/>
          <w:sz w:val="21"/>
        </w:rPr>
        <w:t>(b)</w:t>
      </w:r>
    </w:p>
    <w:p>
      <w:pPr>
        <w:pStyle w:val="TextBody"/>
        <w:bidi w:val="0"/>
        <w:spacing w:before="0" w:after="240"/>
        <w:jc w:val="left"/>
        <w:rPr>
          <w:rFonts w:ascii="Arial" w:hAnsi="Arial"/>
          <w:color w:val="000000"/>
          <w:sz w:val="21"/>
        </w:rPr>
      </w:pPr>
      <w:r>
        <w:rPr>
          <w:rFonts w:ascii="Arial" w:hAnsi="Arial"/>
          <w:color w:val="000000"/>
          <w:sz w:val="21"/>
        </w:rPr>
        <w:t xml:space="preserve">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 </w:t>
      </w:r>
    </w:p>
    <w:p>
      <w:pPr>
        <w:pStyle w:val="TextBody"/>
        <w:bidi w:val="0"/>
        <w:spacing w:before="0" w:after="240"/>
        <w:jc w:val="left"/>
        <w:rPr>
          <w:rFonts w:ascii="Arial" w:hAnsi="Arial"/>
          <w:color w:val="000000"/>
          <w:sz w:val="21"/>
        </w:rPr>
      </w:pPr>
      <w:r>
        <w:rPr>
          <w:rFonts w:ascii="Arial" w:hAnsi="Arial"/>
          <w:color w:val="000000"/>
          <w:sz w:val="21"/>
        </w:rPr>
        <w:t>(c)</w:t>
      </w:r>
    </w:p>
    <w:p>
      <w:pPr>
        <w:pStyle w:val="TextBody"/>
        <w:bidi w:val="0"/>
        <w:spacing w:before="0" w:after="240"/>
        <w:jc w:val="left"/>
        <w:rPr/>
      </w:pPr>
      <w:r>
        <w:rPr>
          <w:rFonts w:ascii="Arial" w:hAnsi="Arial"/>
          <w:color w:val="000000"/>
          <w:sz w:val="21"/>
        </w:rPr>
        <w:t>For the avoidance of doubt, the Company’s obligation to recover Erroneously Awarded Compensation is not dependent on (i) if or when the restated financial statements are filed or</w:t>
      </w:r>
      <w:r>
        <w:rPr>
          <w:color w:val="000000"/>
        </w:rPr>
        <w:t xml:space="preserve"> </w:t>
      </w:r>
      <w:r>
        <w:rPr>
          <w:rFonts w:ascii="Arial" w:hAnsi="Arial"/>
          <w:color w:val="000000"/>
          <w:sz w:val="21"/>
        </w:rPr>
        <w:t xml:space="preserve">(ii) any fault of any Covered Executive for the accounting errors or other actions leading to a Financial Restatement. </w:t>
      </w:r>
    </w:p>
    <w:p>
      <w:pPr>
        <w:pStyle w:val="TextBody"/>
        <w:bidi w:val="0"/>
        <w:spacing w:before="0" w:after="240"/>
        <w:jc w:val="left"/>
        <w:rPr>
          <w:rFonts w:ascii="Arial" w:hAnsi="Arial"/>
          <w:color w:val="000000"/>
          <w:sz w:val="21"/>
        </w:rPr>
      </w:pPr>
      <w:r>
        <w:rPr>
          <w:rFonts w:ascii="Arial" w:hAnsi="Arial"/>
          <w:color w:val="000000"/>
          <w:sz w:val="21"/>
        </w:rPr>
        <w:t>(d)</w:t>
      </w:r>
    </w:p>
    <w:p>
      <w:pPr>
        <w:pStyle w:val="TextBody"/>
        <w:bidi w:val="0"/>
        <w:spacing w:before="0" w:after="240"/>
        <w:jc w:val="left"/>
        <w:rPr>
          <w:rFonts w:ascii="Arial" w:hAnsi="Arial"/>
          <w:color w:val="000000"/>
          <w:sz w:val="21"/>
        </w:rPr>
      </w:pPr>
      <w:r>
        <w:rPr>
          <w:rFonts w:ascii="Arial" w:hAnsi="Arial"/>
          <w:color w:val="000000"/>
          <w:sz w:val="21"/>
        </w:rPr>
        <w:t>Notwithstanding anything to the contrary in Sections ‎2(a) through ‎(c) hereof, the Company shall not be required to recover any Erroneously 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pPr>
      <w:r>
        <w:rPr>
          <w:rFonts w:ascii="Arial" w:hAnsi="Arial"/>
          <w:color w:val="000000"/>
          <w:sz w:val="21"/>
        </w:rPr>
        <w:t xml:space="preserve">the direct expense paid to a third party to assist in enforcing the recovery of the Erroneously Awarded Compensation under this Policy would exceed the amount of such Erroneously Awarded Compensation to be recovered; </w:t>
      </w:r>
      <w:r>
        <w:rPr>
          <w:rFonts w:ascii="Arial" w:hAnsi="Arial"/>
          <w:i/>
          <w:color w:val="000000"/>
          <w:sz w:val="21"/>
        </w:rPr>
        <w:t>provided</w:t>
      </w:r>
      <w:r>
        <w:rPr>
          <w:color w:val="000000"/>
        </w:rPr>
        <w:t xml:space="preserve"> </w:t>
      </w:r>
      <w:r>
        <w:rPr>
          <w:rFonts w:ascii="Arial" w:hAnsi="Arial"/>
          <w:color w:val="000000"/>
          <w:sz w:val="21"/>
        </w:rPr>
        <w:t xml:space="preserve">that, before concluding that it would be impracticable to recover any amount of Erroneously Awarded Compensation pursuant to this Section </w:t>
      </w:r>
      <w:r>
        <w:rPr>
          <w:color w:val="000000"/>
        </w:rPr>
        <w:t>‎</w:t>
      </w:r>
      <w:r>
        <w:rPr>
          <w:rFonts w:ascii="Arial" w:hAnsi="Arial"/>
          <w:color w:val="000000"/>
          <w:sz w:val="21"/>
        </w:rPr>
        <w:t>2(d), the Company shall have first made a reasonable attempt to recover such Erroneously Awarded Compensation, document such reasonable attempt(s) to make such recovery and provide that documentation to the Nasdaq;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pPr>
      <w:r>
        <w:rPr>
          <w:rFonts w:ascii="Arial" w:hAnsi="Arial"/>
          <w:color w:val="000000"/>
          <w:sz w:val="21"/>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Arial" w:hAnsi="Arial"/>
          <w:b/>
          <w:color w:val="000000"/>
          <w:sz w:val="21"/>
        </w:rPr>
        <w:t>Code</w:t>
      </w:r>
      <w:r>
        <w:rPr>
          <w:color w:val="000000"/>
        </w:rPr>
        <w:t>”</w:t>
      </w:r>
      <w:r>
        <w:rPr>
          <w:rFonts w:ascii="Arial" w:hAnsi="Arial"/>
          <w:color w:val="000000"/>
          <w:sz w:val="21"/>
        </w:rPr>
        <w:t>).</w:t>
      </w:r>
    </w:p>
    <w:p>
      <w:pPr>
        <w:pStyle w:val="TextBody"/>
        <w:bidi w:val="0"/>
        <w:jc w:val="center"/>
        <w:rPr>
          <w:rFonts w:ascii="Arial" w:hAnsi="Arial"/>
          <w:color w:val="000000"/>
          <w:sz w:val="21"/>
        </w:rPr>
      </w:pPr>
      <w:r>
        <w:rPr>
          <w:rFonts w:ascii="Arial" w:hAnsi="Arial"/>
          <w:color w:val="000000"/>
          <w:sz w:val="21"/>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1"/>
        </w:rPr>
      </w:pPr>
      <w:r>
        <w:rPr>
          <w:rFonts w:ascii="Arial" w:hAnsi="Arial"/>
          <w:color w:val="000000"/>
          <w:sz w:val="21"/>
        </w:rPr>
        <w:t>(e)</w:t>
      </w:r>
    </w:p>
    <w:p>
      <w:pPr>
        <w:pStyle w:val="TextBody"/>
        <w:bidi w:val="0"/>
        <w:spacing w:before="0" w:after="240"/>
        <w:jc w:val="left"/>
        <w:rPr>
          <w:rFonts w:ascii="Arial" w:hAnsi="Arial"/>
          <w:color w:val="000000"/>
          <w:sz w:val="21"/>
        </w:rPr>
      </w:pPr>
      <w:r>
        <w:rPr>
          <w:rFonts w:ascii="Arial" w:hAnsi="Arial"/>
          <w:color w:val="000000"/>
          <w:sz w:val="21"/>
        </w:rPr>
        <w:t xml:space="preserve">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 </w:t>
      </w:r>
    </w:p>
    <w:p>
      <w:pPr>
        <w:pStyle w:val="TextBody"/>
        <w:bidi w:val="0"/>
        <w:spacing w:before="0" w:after="240"/>
        <w:jc w:val="left"/>
        <w:rPr>
          <w:rFonts w:ascii="Arial" w:hAnsi="Arial"/>
          <w:color w:val="000000"/>
          <w:sz w:val="21"/>
        </w:rPr>
      </w:pPr>
      <w:r>
        <w:rPr>
          <w:rFonts w:ascii="Arial" w:hAnsi="Arial"/>
          <w:color w:val="000000"/>
          <w:sz w:val="21"/>
        </w:rPr>
        <w:t>(f)</w:t>
      </w:r>
    </w:p>
    <w:p>
      <w:pPr>
        <w:pStyle w:val="TextBody"/>
        <w:bidi w:val="0"/>
        <w:spacing w:before="0" w:after="240"/>
        <w:jc w:val="left"/>
        <w:rPr/>
      </w:pPr>
      <w:r>
        <w:rPr>
          <w:rFonts w:ascii="Arial" w:hAnsi="Arial"/>
          <w:color w:val="000000"/>
          <w:sz w:val="21"/>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Arial" w:hAnsi="Arial"/>
          <w:i/>
          <w:color w:val="000000"/>
          <w:sz w:val="21"/>
        </w:rPr>
        <w:t>provided</w:t>
      </w:r>
      <w:r>
        <w:rPr>
          <w:color w:val="000000"/>
        </w:rPr>
        <w:t xml:space="preserve"> </w:t>
      </w:r>
      <w:r>
        <w:rPr>
          <w:rFonts w:ascii="Arial" w:hAnsi="Arial"/>
          <w:color w:val="000000"/>
          <w:sz w:val="21"/>
        </w:rPr>
        <w:t>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3.</w:t>
      </w:r>
    </w:p>
    <w:p>
      <w:pPr>
        <w:pStyle w:val="TextBody"/>
        <w:bidi w:val="0"/>
        <w:spacing w:before="0" w:after="240"/>
        <w:jc w:val="left"/>
        <w:rPr/>
      </w:pPr>
      <w:r>
        <w:rPr>
          <w:rFonts w:ascii="Arial" w:hAnsi="Arial"/>
          <w:color w:val="000000"/>
          <w:sz w:val="21"/>
          <w:u w:val="single"/>
        </w:rPr>
        <w:t>Administration</w:t>
      </w:r>
      <w:r>
        <w:rPr>
          <w:rFonts w:ascii="Arial" w:hAnsi="Arial"/>
          <w:color w:val="000000"/>
          <w:sz w:val="21"/>
        </w:rPr>
        <w:t>. This Policy shall be administered by the Committee. All decisions of the Committee shall be final, conclusive and binding upon the Company and the Covered Executives, their beneficiaries, heirs,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4.</w:t>
      </w:r>
    </w:p>
    <w:p>
      <w:pPr>
        <w:pStyle w:val="TextBody"/>
        <w:bidi w:val="0"/>
        <w:spacing w:before="0" w:after="240"/>
        <w:jc w:val="left"/>
        <w:rPr/>
      </w:pPr>
      <w:r>
        <w:rPr>
          <w:rFonts w:ascii="Arial" w:hAnsi="Arial"/>
          <w:color w:val="000000"/>
          <w:sz w:val="21"/>
          <w:u w:val="single"/>
        </w:rPr>
        <w:t>Amendment/Termination</w:t>
      </w:r>
      <w:r>
        <w:rPr>
          <w:rFonts w:ascii="Arial" w:hAnsi="Arial"/>
          <w:color w:val="000000"/>
          <w:sz w:val="21"/>
        </w:rPr>
        <w:t>. Subject to Section 10D of the Exchange Act and the Listing Rule,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5.</w:t>
      </w:r>
    </w:p>
    <w:p>
      <w:pPr>
        <w:pStyle w:val="TextBody"/>
        <w:bidi w:val="0"/>
        <w:spacing w:before="0" w:after="240"/>
        <w:jc w:val="left"/>
        <w:rPr/>
      </w:pPr>
      <w:r>
        <w:rPr>
          <w:rFonts w:ascii="Arial" w:hAnsi="Arial"/>
          <w:color w:val="000000"/>
          <w:sz w:val="21"/>
          <w:u w:val="single"/>
        </w:rPr>
        <w:t>Interpretation</w:t>
      </w:r>
      <w:r>
        <w:rPr>
          <w:rFonts w:ascii="Arial" w:hAnsi="Arial"/>
          <w:color w:val="000000"/>
          <w:sz w:val="21"/>
        </w:rPr>
        <w:t xml:space="preserve">. 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 </w:t>
      </w:r>
    </w:p>
    <w:p>
      <w:pPr>
        <w:pStyle w:val="TextBody"/>
        <w:bidi w:val="0"/>
        <w:jc w:val="center"/>
        <w:rPr>
          <w:rFonts w:ascii="Arial" w:hAnsi="Arial"/>
          <w:color w:val="000000"/>
          <w:sz w:val="21"/>
        </w:rPr>
      </w:pPr>
      <w:r>
        <w:rPr>
          <w:rFonts w:ascii="Arial" w:hAnsi="Arial"/>
          <w:color w:val="000000"/>
          <w:sz w:val="21"/>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6.</w:t>
      </w:r>
    </w:p>
    <w:p>
      <w:pPr>
        <w:pStyle w:val="TextBody"/>
        <w:bidi w:val="0"/>
        <w:spacing w:before="0" w:after="240"/>
        <w:jc w:val="left"/>
        <w:rPr/>
      </w:pPr>
      <w:r>
        <w:rPr>
          <w:rFonts w:ascii="Arial" w:hAnsi="Arial"/>
          <w:color w:val="000000"/>
          <w:sz w:val="21"/>
          <w:u w:val="single"/>
        </w:rPr>
        <w:t>Other Compensation Clawback/Recoupment Rights</w:t>
      </w:r>
      <w:r>
        <w:rPr>
          <w:rFonts w:ascii="Arial" w:hAnsi="Arial"/>
          <w:color w:val="000000"/>
          <w:sz w:val="21"/>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Arial" w:hAnsi="Arial"/>
          <w:i/>
          <w:color w:val="000000"/>
          <w:sz w:val="21"/>
        </w:rPr>
        <w:t>provided</w:t>
      </w:r>
      <w:r>
        <w:rPr>
          <w:rFonts w:ascii="Arial" w:hAnsi="Arial"/>
          <w:color w:val="000000"/>
          <w:sz w:val="21"/>
        </w:rPr>
        <w:t xml:space="preserve">, </w:t>
      </w:r>
      <w:r>
        <w:rPr>
          <w:rFonts w:ascii="Arial" w:hAnsi="Arial"/>
          <w:i/>
          <w:color w:val="000000"/>
          <w:sz w:val="21"/>
        </w:rPr>
        <w:t>however</w:t>
      </w:r>
      <w:r>
        <w:rPr>
          <w:rFonts w:ascii="Arial" w:hAnsi="Arial"/>
          <w:color w:val="000000"/>
          <w:sz w:val="21"/>
        </w:rPr>
        <w:t>, that any amounts recouped or clawed back under any other policy that would be recoupable under this Policy shall count toward any required clawback or recoupment under this Policy and vice versa.</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7.</w:t>
      </w:r>
    </w:p>
    <w:p>
      <w:pPr>
        <w:pStyle w:val="TextBody"/>
        <w:bidi w:val="0"/>
        <w:spacing w:before="0" w:after="240"/>
        <w:jc w:val="left"/>
        <w:rPr/>
      </w:pPr>
      <w:r>
        <w:rPr>
          <w:rFonts w:ascii="Arial" w:hAnsi="Arial"/>
          <w:color w:val="000000"/>
          <w:sz w:val="21"/>
          <w:u w:val="single"/>
        </w:rPr>
        <w:t>Exempt Compensation</w:t>
      </w:r>
      <w:r>
        <w:rPr>
          <w:rFonts w:ascii="Arial" w:hAnsi="Arial"/>
          <w:color w:val="000000"/>
          <w:sz w:val="21"/>
        </w:rPr>
        <w:t xml:space="preserve">. Notwithstanding anything to the contrary herein, the Company has no obligation under this Policy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Arial" w:hAnsi="Arial"/>
          <w:i/>
          <w:color w:val="000000"/>
          <w:sz w:val="21"/>
        </w:rPr>
        <w:t xml:space="preserve">provided </w:t>
      </w:r>
      <w:r>
        <w:rPr>
          <w:rFonts w:ascii="Arial" w:hAnsi="Arial"/>
          <w:color w:val="000000"/>
          <w:sz w:val="21"/>
        </w:rPr>
        <w:t>that</w:t>
      </w:r>
      <w:r>
        <w:rPr>
          <w:color w:val="000000"/>
        </w:rPr>
        <w:t xml:space="preserve"> </w:t>
      </w:r>
      <w:r>
        <w:rPr>
          <w:rFonts w:ascii="Arial" w:hAnsi="Arial"/>
          <w:color w:val="000000"/>
          <w:sz w:val="21"/>
        </w:rPr>
        <w:t xml:space="preserve">such amounts are in no way contingent on, and were not in any way granted on the basis of, the achievement of any Financial Reporting Measure performance goal. </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8.</w:t>
      </w:r>
    </w:p>
    <w:p>
      <w:pPr>
        <w:pStyle w:val="TextBody"/>
        <w:bidi w:val="0"/>
        <w:spacing w:before="0" w:after="240"/>
        <w:jc w:val="left"/>
        <w:rPr/>
      </w:pPr>
      <w:r>
        <w:rPr>
          <w:rFonts w:ascii="Arial" w:hAnsi="Arial"/>
          <w:color w:val="000000"/>
          <w:sz w:val="21"/>
          <w:u w:val="single"/>
        </w:rPr>
        <w:t>Miscellaneous</w:t>
      </w:r>
      <w:r>
        <w:rPr>
          <w:rFonts w:ascii="Arial" w:hAnsi="Arial"/>
          <w:color w:val="000000"/>
          <w:sz w:val="21"/>
        </w:rPr>
        <w:t>.</w:t>
      </w:r>
    </w:p>
    <w:p>
      <w:pPr>
        <w:pStyle w:val="TextBody"/>
        <w:bidi w:val="0"/>
        <w:spacing w:before="0" w:after="240"/>
        <w:jc w:val="left"/>
        <w:rPr>
          <w:rFonts w:ascii="Arial" w:hAnsi="Arial"/>
          <w:color w:val="000000"/>
          <w:sz w:val="21"/>
        </w:rPr>
      </w:pPr>
      <w:r>
        <w:rPr>
          <w:rFonts w:ascii="Arial" w:hAnsi="Arial"/>
          <w:color w:val="000000"/>
          <w:sz w:val="21"/>
        </w:rPr>
        <w:t>(a)</w:t>
      </w:r>
    </w:p>
    <w:p>
      <w:pPr>
        <w:pStyle w:val="TextBody"/>
        <w:bidi w:val="0"/>
        <w:spacing w:before="0" w:after="240"/>
        <w:jc w:val="left"/>
        <w:rPr>
          <w:rFonts w:ascii="Arial" w:hAnsi="Arial"/>
          <w:color w:val="000000"/>
          <w:sz w:val="21"/>
        </w:rPr>
      </w:pPr>
      <w:r>
        <w:rPr>
          <w:rFonts w:ascii="Arial" w:hAnsi="Arial"/>
          <w:color w:val="000000"/>
          <w:sz w:val="21"/>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Slide Insurance Holdings, Inc. 2021 Equity Compensation Plan, the Slide Insurance Holdings, Inc. 2024 Omnibus Incentive Plan and any successor plan thereto.</w:t>
      </w:r>
    </w:p>
    <w:p>
      <w:pPr>
        <w:pStyle w:val="TextBody"/>
        <w:bidi w:val="0"/>
        <w:spacing w:before="0" w:after="240"/>
        <w:jc w:val="left"/>
        <w:rPr>
          <w:rFonts w:ascii="Arial" w:hAnsi="Arial"/>
          <w:color w:val="000000"/>
          <w:sz w:val="21"/>
        </w:rPr>
      </w:pPr>
      <w:r>
        <w:rPr>
          <w:rFonts w:ascii="Arial" w:hAnsi="Arial"/>
          <w:color w:val="000000"/>
          <w:sz w:val="21"/>
        </w:rPr>
        <w:t>(b)</w:t>
      </w:r>
    </w:p>
    <w:p>
      <w:pPr>
        <w:pStyle w:val="TextBody"/>
        <w:bidi w:val="0"/>
        <w:spacing w:before="0" w:after="240"/>
        <w:jc w:val="left"/>
        <w:rPr>
          <w:rFonts w:ascii="Arial" w:hAnsi="Arial"/>
          <w:color w:val="000000"/>
          <w:sz w:val="21"/>
        </w:rPr>
      </w:pPr>
      <w:r>
        <w:rPr>
          <w:rFonts w:ascii="Arial" w:hAnsi="Arial"/>
          <w:color w:val="000000"/>
          <w:sz w:val="21"/>
        </w:rPr>
        <w:t xml:space="preserve">This Policy shall be binding and enforceable against all Covered Executives and their beneficiaries, heirs, executors, administrators or other legal representatives. </w:t>
      </w:r>
    </w:p>
    <w:p>
      <w:pPr>
        <w:pStyle w:val="TextBody"/>
        <w:bidi w:val="0"/>
        <w:spacing w:before="0" w:after="240"/>
        <w:jc w:val="left"/>
        <w:rPr>
          <w:rFonts w:ascii="Arial" w:hAnsi="Arial"/>
          <w:color w:val="000000"/>
          <w:sz w:val="21"/>
        </w:rPr>
      </w:pPr>
      <w:r>
        <w:rPr>
          <w:rFonts w:ascii="Arial" w:hAnsi="Arial"/>
          <w:color w:val="000000"/>
          <w:sz w:val="21"/>
        </w:rPr>
        <w:t>(c)</w:t>
      </w:r>
    </w:p>
    <w:p>
      <w:pPr>
        <w:pStyle w:val="TextBody"/>
        <w:bidi w:val="0"/>
        <w:spacing w:before="0" w:after="240"/>
        <w:jc w:val="left"/>
        <w:rPr>
          <w:rFonts w:ascii="Arial" w:hAnsi="Arial"/>
          <w:color w:val="000000"/>
          <w:sz w:val="21"/>
        </w:rPr>
      </w:pPr>
      <w:r>
        <w:rPr>
          <w:rFonts w:ascii="Arial" w:hAnsi="Arial"/>
          <w:color w:val="000000"/>
          <w:sz w:val="21"/>
        </w:rPr>
        <w:t xml:space="preserve">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 </w:t>
      </w:r>
    </w:p>
    <w:p>
      <w:pPr>
        <w:pStyle w:val="TextBody"/>
        <w:bidi w:val="0"/>
        <w:spacing w:before="0" w:after="240"/>
        <w:jc w:val="left"/>
        <w:rPr>
          <w:rFonts w:ascii="Arial" w:hAnsi="Arial"/>
          <w:color w:val="000000"/>
          <w:sz w:val="21"/>
        </w:rPr>
      </w:pPr>
      <w:r>
        <w:rPr>
          <w:rFonts w:ascii="Arial" w:hAnsi="Arial"/>
          <w:color w:val="000000"/>
          <w:sz w:val="21"/>
        </w:rPr>
        <w:t>(d)</w:t>
      </w:r>
    </w:p>
    <w:p>
      <w:pPr>
        <w:pStyle w:val="TextBody"/>
        <w:bidi w:val="0"/>
        <w:spacing w:before="0" w:after="240"/>
        <w:jc w:val="left"/>
        <w:rPr/>
      </w:pPr>
      <w:r>
        <w:rPr>
          <w:rFonts w:ascii="Arial" w:hAnsi="Arial"/>
          <w:color w:val="000000"/>
          <w:sz w:val="21"/>
        </w:rPr>
        <w:t>The Covered Executives, their beneficiaries, heirs,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the federal and state courts sitting within the State of New York shall be the sole and exclusive forums for any</w:t>
      </w:r>
      <w:r>
        <w:rPr>
          <w:color w:val="000000"/>
        </w:rPr>
        <w:t xml:space="preserve"> </w:t>
      </w:r>
      <w:r>
        <w:rPr>
          <w:rFonts w:ascii="Arial" w:hAnsi="Arial"/>
          <w:color w:val="000000"/>
          <w:sz w:val="21"/>
        </w:rPr>
        <w:t xml:space="preserve">and all disputes, claims, or causes of action arising from or relating to the enforcement, </w:t>
      </w:r>
    </w:p>
    <w:p>
      <w:pPr>
        <w:pStyle w:val="TextBody"/>
        <w:bidi w:val="0"/>
        <w:jc w:val="center"/>
        <w:rPr>
          <w:rFonts w:ascii="Arial" w:hAnsi="Arial"/>
          <w:color w:val="000000"/>
          <w:sz w:val="21"/>
        </w:rPr>
      </w:pPr>
      <w:r>
        <w:rPr>
          <w:rFonts w:ascii="Arial" w:hAnsi="Arial"/>
          <w:color w:val="000000"/>
          <w:sz w:val="21"/>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1"/>
        </w:rPr>
      </w:pPr>
      <w:r>
        <w:rPr>
          <w:rFonts w:ascii="Arial" w:hAnsi="Arial"/>
          <w:color w:val="000000"/>
          <w:sz w:val="21"/>
        </w:rPr>
        <w:t>performance or interpretation of this Policy. The Covered Executives, their beneficiaries, heirs, executors, administrators and any other legal representative and the Company, shall not commence any suit, action or other proceeding arising out of or based upon this Agreement except in the United States District Court for the District of New York or any New York court, and hereby waive, and agree not to assert, by way of motion, as a defense or otherwise, in any such suit, action or proceeding, any claim that such party is not subject to the jurisdiction of the above-named courts, that its property is exempt or immune from attachment or execution, that the suit, action or proceeding is brought in an inconvenient forum, that the venue of the suit, action or proceeding is improper or that this Policy or the subject matter hereof may not be enforced in or by such courts. To the fullest extent permitted by law, the Covered Executives, their beneficiaries, heirs, executors, administrators, and any other legal representative, and the Company, shall waive (and shall hereby be deemed to have waived) the right to resolve any such dispute through a trial by jury.</w:t>
      </w:r>
    </w:p>
    <w:p>
      <w:pPr>
        <w:pStyle w:val="TextBody"/>
        <w:bidi w:val="0"/>
        <w:spacing w:before="0" w:after="240"/>
        <w:jc w:val="left"/>
        <w:rPr>
          <w:rFonts w:ascii="Arial" w:hAnsi="Arial"/>
          <w:color w:val="000000"/>
          <w:sz w:val="21"/>
        </w:rPr>
      </w:pPr>
      <w:r>
        <w:rPr>
          <w:rFonts w:ascii="Arial" w:hAnsi="Arial"/>
          <w:color w:val="000000"/>
          <w:sz w:val="21"/>
        </w:rPr>
        <w:t>(e)</w:t>
      </w:r>
    </w:p>
    <w:p>
      <w:pPr>
        <w:pStyle w:val="TextBody"/>
        <w:bidi w:val="0"/>
        <w:spacing w:before="0" w:after="240"/>
        <w:jc w:val="left"/>
        <w:rPr>
          <w:rFonts w:ascii="Arial" w:hAnsi="Arial"/>
          <w:color w:val="000000"/>
          <w:sz w:val="21"/>
        </w:rPr>
      </w:pPr>
      <w:r>
        <w:rPr>
          <w:rFonts w:ascii="Arial" w:hAnsi="Arial"/>
          <w:color w:val="000000"/>
          <w:sz w:val="21"/>
        </w:rPr>
        <w:t xml:space="preserve">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 </w:t>
      </w:r>
    </w:p>
    <w:p>
      <w:pPr>
        <w:pStyle w:val="TextBody"/>
        <w:bidi w:val="0"/>
        <w:jc w:val="center"/>
        <w:rPr>
          <w:rFonts w:ascii="Arial" w:hAnsi="Arial"/>
          <w:color w:val="000000"/>
          <w:sz w:val="21"/>
        </w:rPr>
      </w:pPr>
      <w:r>
        <w:rPr>
          <w:rFonts w:ascii="Arial" w:hAnsi="Arial"/>
          <w:color w:val="000000"/>
          <w:sz w:val="21"/>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86428/000119312525143650/d929856dex31.htm" TargetMode="External"/><Relationship Id="rId4" Type="http://schemas.openxmlformats.org/officeDocument/2006/relationships/hyperlink" Target="https://www.sec.gov/Archives/edgar/data/1886428/000119312525143650/d929856dex32.htm" TargetMode="External"/><Relationship Id="rId5" Type="http://schemas.openxmlformats.org/officeDocument/2006/relationships/hyperlink" Target="https://www.sec.gov/Archives/edgar/data/1886428/000119312525125836/d739486dex101.htm" TargetMode="External"/><Relationship Id="rId6" Type="http://schemas.openxmlformats.org/officeDocument/2006/relationships/hyperlink" Target="https://www.sec.gov/Archives/edgar/data/1886428/000119312525125836/d739486dex102.htm" TargetMode="External"/><Relationship Id="rId7" Type="http://schemas.openxmlformats.org/officeDocument/2006/relationships/hyperlink" Target="https://www.sec.gov/Archives/edgar/data/1886428/000119312525143650/d929856dex101.htm" TargetMode="External"/><Relationship Id="rId8" Type="http://schemas.openxmlformats.org/officeDocument/2006/relationships/hyperlink" Target="https://www.sec.gov/Archives/edgar/data/1886428/000119312525125836/d739486dex104.htm" TargetMode="External"/><Relationship Id="rId9" Type="http://schemas.openxmlformats.org/officeDocument/2006/relationships/hyperlink" Target="https://www.sec.gov/Archives/edgar/data/1886428/000119312525125836/d739486dex105.htm" TargetMode="External"/><Relationship Id="rId10" Type="http://schemas.openxmlformats.org/officeDocument/2006/relationships/hyperlink" Target="https://www.sec.gov/Archives/edgar/data/1886428/000119312525125836/d739486dex106.htm" TargetMode="External"/><Relationship Id="rId11" Type="http://schemas.openxmlformats.org/officeDocument/2006/relationships/hyperlink" Target="https://www.sec.gov/Archives/edgar/data/1886428/000119312525125836/d739486dex107.htm" TargetMode="External"/><Relationship Id="rId12" Type="http://schemas.openxmlformats.org/officeDocument/2006/relationships/hyperlink" Target="https://www.sec.gov/Archives/edgar/data/1886428/000119312525125836/d739486dex109.htm" TargetMode="External"/><Relationship Id="rId13" Type="http://schemas.openxmlformats.org/officeDocument/2006/relationships/hyperlink" Target="https://www.sec.gov/Archives/edgar/data/1886428/000119312525143650/d929856dex102.htm" TargetMode="External"/><Relationship Id="rId14" Type="http://schemas.openxmlformats.org/officeDocument/2006/relationships/hyperlink" Target="https://www.sec.gov/Archives/edgar/data/1886428/000119312525269841/d268586dex10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90294</Words>
  <Characters>498841</Characters>
  <CharactersWithSpaces>591509</CharactersWithSpaces>
  <Paragraphs>16553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