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left"/>
        <w:rPr/>
      </w:pPr>
      <w:bookmarkStart w:id="0" w:name="slde-20260331.htm"/>
      <w:bookmarkStart w:id="1" w:name="ksslde20260331"/>
      <w:bookmarkEnd w:id="0"/>
      <w:bookmarkEnd w:id="1"/>
      <w:r>
        <w:rPr/>
        <w:t> </w:t>
      </w:r>
    </w:p>
    <w:p>
      <w:pPr>
        <w:pStyle w:val="TextBody"/>
        <w:bidi w:val="0"/>
        <w:jc w:val="center"/>
        <w:rPr>
          <w:rFonts w:ascii="Times New Roman" w:hAnsi="Times New Roman"/>
          <w:b/>
          <w:color w:val="000000"/>
          <w:sz w:val="36"/>
        </w:rPr>
      </w:pPr>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pBdr>
          <w:bottom w:val="single" w:sz="4" w:space="1" w:color="000000"/>
        </w:pBdr>
        <w:bidi w:val="0"/>
        <w:spacing w:before="40" w:after="100"/>
        <w:jc w:val="center"/>
        <w:rPr/>
      </w:pPr>
      <w:r>
        <w:rPr/>
        <w:t> </w:t>
      </w:r>
    </w:p>
    <w:p>
      <w:pPr>
        <w:pStyle w:val="TextBody"/>
        <w:bidi w:val="0"/>
        <w:spacing w:before="20" w:after="283"/>
        <w:jc w:val="center"/>
        <w:rPr>
          <w:rFonts w:ascii="Times New Roman" w:hAnsi="Times New Roman"/>
          <w:b/>
          <w:color w:val="000000"/>
          <w:sz w:val="36"/>
        </w:rPr>
      </w:pPr>
      <w:r>
        <w:rPr>
          <w:rFonts w:ascii="Times New Roman" w:hAnsi="Times New Roman"/>
          <w:b/>
          <w:color w:val="000000"/>
          <w:sz w:val="36"/>
        </w:rPr>
        <w:t>FORM 10-Q</w:t>
      </w:r>
    </w:p>
    <w:p>
      <w:pPr>
        <w:pStyle w:val="TextBody"/>
        <w:pBdr>
          <w:bottom w:val="single" w:sz="4" w:space="1" w:color="000000"/>
        </w:pBdr>
        <w:bidi w:val="0"/>
        <w:spacing w:before="40" w:after="100"/>
        <w:jc w:val="center"/>
        <w:rPr/>
      </w:pPr>
      <w:r>
        <w:rPr/>
        <w:t> </w:t>
      </w:r>
    </w:p>
    <w:p>
      <w:pPr>
        <w:pStyle w:val="TextBody"/>
        <w:bidi w:val="0"/>
        <w:jc w:val="left"/>
        <w:rPr>
          <w:rFonts w:ascii="Times New Roman" w:hAnsi="Times New Roman"/>
          <w:b/>
          <w:color w:val="000000"/>
          <w:sz w:val="16"/>
        </w:rPr>
      </w:pPr>
      <w:r>
        <w:rPr>
          <w:rFonts w:ascii="Times New Roman" w:hAnsi="Times New Roman"/>
          <w:b/>
          <w:color w:val="000000"/>
          <w:sz w:val="16"/>
        </w:rPr>
        <w:t>(Mark One)</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QUARTERLY REPORT PURSUANT TO SECTION 13 OR 15(d) OF THE SECURITIES EXCHANGE ACT OF 1934</w:t>
            </w:r>
          </w:p>
        </w:tc>
      </w:tr>
    </w:tbl>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For the quarterly period ended March 31, 2026</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OR</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b/>
                <w:color w:val="000000"/>
                <w:sz w:val="20"/>
              </w:rPr>
            </w:pPr>
            <w:r>
              <w:rPr>
                <w:rFonts w:ascii="Times New Roman" w:hAnsi="Times New Roman"/>
                <w:b/>
                <w:color w:val="000000"/>
                <w:sz w:val="20"/>
              </w:rPr>
              <w:t>TRANSITION REPORT PURSUANT TO SECTION 13 OR 15(d) OF THE SECURITIES EXCHANGE ACT OF 1934</w:t>
            </w:r>
          </w:p>
        </w:tc>
      </w:tr>
    </w:tbl>
    <w:p>
      <w:pPr>
        <w:pStyle w:val="TextBody"/>
        <w:bidi w:val="0"/>
        <w:spacing w:before="100" w:after="283"/>
        <w:jc w:val="center"/>
        <w:rPr>
          <w:rFonts w:ascii="Times New Roman" w:hAnsi="Times New Roman"/>
          <w:sz w:val="20"/>
        </w:rPr>
      </w:pPr>
      <w:r>
        <w:rPr>
          <w:rFonts w:ascii="Times New Roman" w:hAnsi="Times New Roman"/>
          <w:b/>
          <w:color w:val="000000"/>
          <w:sz w:val="20"/>
        </w:rPr>
        <w:t>For the transition period from to</w:t>
      </w:r>
      <w:r>
        <w:rPr>
          <w:rFonts w:ascii="Times New Roman" w:hAnsi="Times New Roman"/>
          <w:color w:val="000000"/>
          <w:sz w:val="20"/>
        </w:rPr>
        <w:t xml:space="preserve"> </w:t>
      </w:r>
    </w:p>
    <w:p>
      <w:pPr>
        <w:pStyle w:val="TextBody"/>
        <w:bidi w:val="0"/>
        <w:spacing w:before="100" w:after="283"/>
        <w:jc w:val="center"/>
        <w:rPr>
          <w:rFonts w:ascii="Times New Roman" w:hAnsi="Times New Roman"/>
          <w:b/>
          <w:color w:val="000000"/>
          <w:sz w:val="20"/>
        </w:rPr>
      </w:pPr>
      <w:r>
        <w:rPr>
          <w:rFonts w:ascii="Times New Roman" w:hAnsi="Times New Roman"/>
          <w:b/>
          <w:color w:val="000000"/>
          <w:sz w:val="20"/>
        </w:rPr>
        <w:t>Commission File Number: 001-42707</w:t>
      </w:r>
    </w:p>
    <w:p>
      <w:pPr>
        <w:pStyle w:val="TextBody"/>
        <w:pBdr>
          <w:bottom w:val="single" w:sz="4" w:space="1" w:color="000000"/>
        </w:pBdr>
        <w:bidi w:val="0"/>
        <w:spacing w:before="40" w:after="100"/>
        <w:jc w:val="center"/>
        <w:rPr/>
      </w:pPr>
      <w:r>
        <w:rPr/>
        <w:t> </w:t>
      </w:r>
    </w:p>
    <w:p>
      <w:pPr>
        <w:pStyle w:val="TextBody"/>
        <w:bidi w:val="0"/>
        <w:jc w:val="center"/>
        <w:rPr>
          <w:rFonts w:ascii="Times New Roman" w:hAnsi="Times New Roman"/>
          <w:b/>
          <w:color w:val="000000"/>
          <w:sz w:val="48"/>
        </w:rPr>
      </w:pPr>
      <w:r>
        <w:rPr>
          <w:rFonts w:ascii="Times New Roman" w:hAnsi="Times New Roman"/>
          <w:b/>
          <w:color w:val="000000"/>
          <w:sz w:val="48"/>
        </w:rPr>
        <w:t>Slide Insurance Holdings, Inc.</w:t>
      </w:r>
    </w:p>
    <w:p>
      <w:pPr>
        <w:pStyle w:val="TextBody"/>
        <w:bidi w:val="0"/>
        <w:jc w:val="center"/>
        <w:rPr>
          <w:rFonts w:ascii="Times New Roman" w:hAnsi="Times New Roman"/>
          <w:b/>
          <w:color w:val="000000"/>
          <w:sz w:val="20"/>
        </w:rPr>
      </w:pPr>
      <w:r>
        <w:rPr>
          <w:rFonts w:ascii="Times New Roman" w:hAnsi="Times New Roman"/>
          <w:b/>
          <w:color w:val="000000"/>
          <w:sz w:val="20"/>
        </w:rPr>
        <w:t>(Exact Name of Registrant as Specified in its Charter)</w:t>
      </w:r>
    </w:p>
    <w:p>
      <w:pPr>
        <w:pStyle w:val="TextBody"/>
        <w:pBdr>
          <w:bottom w:val="single" w:sz="4" w:space="1" w:color="000000"/>
        </w:pBdr>
        <w:bidi w:val="0"/>
        <w:spacing w:before="40" w:after="283"/>
        <w:jc w:val="center"/>
        <w:rPr/>
      </w:pPr>
      <w:r>
        <w:rPr/>
        <w:t> </w:t>
      </w:r>
    </w:p>
    <w:p>
      <w:pPr>
        <w:pStyle w:val="TextBody"/>
        <w:bidi w:val="0"/>
        <w:jc w:val="left"/>
        <w:rPr/>
      </w:pPr>
      <w:r>
        <w:rPr/>
        <w:t> </w:t>
      </w:r>
    </w:p>
    <w:tbl>
      <w:tblPr>
        <w:tblW w:w="4337" w:type="dxa"/>
        <w:jc w:val="left"/>
        <w:tblInd w:w="0" w:type="dxa"/>
        <w:tblLayout w:type="fixed"/>
        <w:tblCellMar>
          <w:top w:w="28" w:type="dxa"/>
          <w:left w:w="28" w:type="dxa"/>
          <w:bottom w:w="28" w:type="dxa"/>
          <w:right w:w="28" w:type="dxa"/>
        </w:tblCellMar>
      </w:tblPr>
      <w:tblGrid>
        <w:gridCol w:w="3091"/>
        <w:gridCol w:w="1246"/>
      </w:tblGrid>
      <w:tr>
        <w:trPr/>
        <w:tc>
          <w:tcPr>
            <w:tcW w:w="3091"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r>
      <w:tr>
        <w:trPr/>
        <w:tc>
          <w:tcPr>
            <w:tcW w:w="30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87-1554861</w:t>
            </w:r>
          </w:p>
        </w:tc>
      </w:tr>
      <w:tr>
        <w:trPr/>
        <w:tc>
          <w:tcPr>
            <w:tcW w:w="309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4"/>
              </w:rPr>
            </w:pPr>
            <w:r>
              <w:rPr>
                <w:rFonts w:ascii="Times New Roman" w:hAnsi="Times New Roman"/>
                <w:b/>
                <w:color w:val="000000"/>
                <w:sz w:val="14"/>
              </w:rPr>
              <w:t>( State or other jurisdiction of</w:t>
            </w:r>
          </w:p>
          <w:p>
            <w:pPr>
              <w:pStyle w:val="TableContents"/>
              <w:bidi w:val="0"/>
              <w:spacing w:before="0" w:after="15"/>
              <w:jc w:val="center"/>
              <w:rPr>
                <w:rFonts w:ascii="Times New Roman" w:hAnsi="Times New Roman"/>
                <w:b/>
                <w:color w:val="000000"/>
                <w:sz w:val="14"/>
              </w:rPr>
            </w:pPr>
            <w:r>
              <w:rPr>
                <w:rFonts w:ascii="Times New Roman" w:hAnsi="Times New Roman"/>
                <w:b/>
                <w:color w:val="000000"/>
                <w:sz w:val="14"/>
              </w:rPr>
              <w:t>incorporation or organization)</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(I.R.S. Employer</w:t>
              <w:br/>
              <w:t>Identification No.)</w:t>
            </w:r>
          </w:p>
        </w:tc>
      </w:tr>
      <w:tr>
        <w:trPr/>
        <w:tc>
          <w:tcPr>
            <w:tcW w:w="3091" w:type="dxa"/>
            <w:tcBorders/>
            <w:tcMar>
              <w:top w:w="0" w:type="dxa"/>
              <w:left w:w="0" w:type="dxa"/>
              <w:bottom w:w="0" w:type="dxa"/>
              <w:right w:w="0" w:type="dxa"/>
            </w:tcMar>
            <w:vAlign w:val="center"/>
          </w:tcPr>
          <w:p>
            <w:pPr>
              <w:pStyle w:val="TableContents"/>
              <w:bidi w:val="0"/>
              <w:spacing w:before="0" w:after="15"/>
              <w:jc w:val="center"/>
              <w:rPr>
                <w:rFonts w:ascii="Times New Roman" w:hAnsi="Times New Roman"/>
                <w:b/>
                <w:color w:val="000000"/>
                <w:sz w:val="20"/>
              </w:rPr>
            </w:pPr>
            <w:r>
              <w:rPr>
                <w:rFonts w:ascii="Times New Roman" w:hAnsi="Times New Roman"/>
                <w:b/>
                <w:color w:val="000000"/>
                <w:sz w:val="20"/>
              </w:rPr>
              <w:t>4221 W. Boy Scout Blvd., Suite 200</w:t>
            </w:r>
          </w:p>
          <w:p>
            <w:pPr>
              <w:pStyle w:val="TableContents"/>
              <w:bidi w:val="0"/>
              <w:spacing w:before="0" w:after="15"/>
              <w:jc w:val="center"/>
              <w:rPr>
                <w:rFonts w:ascii="Times New Roman" w:hAnsi="Times New Roman"/>
                <w:b/>
                <w:color w:val="000000"/>
                <w:sz w:val="20"/>
              </w:rPr>
            </w:pPr>
            <w:r>
              <w:rPr>
                <w:rFonts w:ascii="Times New Roman" w:hAnsi="Times New Roman"/>
                <w:b/>
                <w:color w:val="000000"/>
                <w:sz w:val="20"/>
              </w:rPr>
              <w:t>Tampa, FL</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33607</w:t>
            </w:r>
          </w:p>
        </w:tc>
      </w:tr>
      <w:tr>
        <w:trPr/>
        <w:tc>
          <w:tcPr>
            <w:tcW w:w="30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(Address of principal executive offices)</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(Zip Code)</w:t>
            </w:r>
          </w:p>
        </w:tc>
      </w:tr>
    </w:tbl>
    <w:p>
      <w:pPr>
        <w:pStyle w:val="TextBody"/>
        <w:bidi w:val="0"/>
        <w:spacing w:before="80" w:after="283"/>
        <w:jc w:val="center"/>
        <w:rPr>
          <w:rFonts w:ascii="Times New Roman" w:hAnsi="Times New Roman"/>
          <w:b/>
          <w:color w:val="000000"/>
          <w:sz w:val="20"/>
        </w:rPr>
      </w:pPr>
      <w:r>
        <w:rPr>
          <w:rFonts w:ascii="Times New Roman" w:hAnsi="Times New Roman"/>
          <w:b/>
          <w:color w:val="000000"/>
          <w:sz w:val="20"/>
        </w:rPr>
        <w:t>Registrant’s telephone number, including area code: (813) 748-2030</w:t>
      </w:r>
    </w:p>
    <w:p>
      <w:pPr>
        <w:pStyle w:val="TextBody"/>
        <w:pBdr>
          <w:bottom w:val="single" w:sz="4" w:space="1" w:color="000000"/>
        </w:pBdr>
        <w:bidi w:val="0"/>
        <w:spacing w:before="40" w:after="283"/>
        <w:jc w:val="center"/>
        <w:rPr/>
      </w:pPr>
      <w:r>
        <w:rPr/>
        <w:t> </w:t>
      </w:r>
    </w:p>
    <w:p>
      <w:pPr>
        <w:pStyle w:val="TextBody"/>
        <w:bidi w:val="0"/>
        <w:spacing w:before="60" w:after="283"/>
        <w:jc w:val="left"/>
        <w:rPr>
          <w:rFonts w:ascii="Times New Roman" w:hAnsi="Times New Roman"/>
          <w:sz w:val="20"/>
        </w:rPr>
      </w:pPr>
      <w:r>
        <w:rPr>
          <w:rFonts w:ascii="Times New Roman" w:hAnsi="Times New Roman"/>
          <w:color w:val="000000"/>
          <w:sz w:val="18"/>
        </w:rPr>
        <w:t>Securities registered pursuant to Section 12(b) of the Act:</w:t>
      </w:r>
      <w:r>
        <w:rPr>
          <w:rFonts w:ascii="Times New Roman" w:hAnsi="Times New Roman"/>
          <w:color w:val="000000"/>
          <w:sz w:val="20"/>
        </w:rPr>
        <w:t xml:space="preserve"> </w:t>
      </w:r>
    </w:p>
    <w:p>
      <w:pPr>
        <w:pStyle w:val="TextBody"/>
        <w:bidi w:val="0"/>
        <w:jc w:val="left"/>
        <w:rPr/>
      </w:pPr>
      <w:r>
        <w:rPr/>
        <w:t> </w:t>
      </w:r>
    </w:p>
    <w:tbl>
      <w:tblPr>
        <w:tblW w:w="7540" w:type="dxa"/>
        <w:jc w:val="left"/>
        <w:tblInd w:w="0" w:type="dxa"/>
        <w:tblLayout w:type="fixed"/>
        <w:tblCellMar>
          <w:top w:w="28" w:type="dxa"/>
          <w:left w:w="28" w:type="dxa"/>
          <w:bottom w:w="28" w:type="dxa"/>
          <w:right w:w="28" w:type="dxa"/>
        </w:tblCellMar>
      </w:tblPr>
      <w:tblGrid>
        <w:gridCol w:w="3106"/>
        <w:gridCol w:w="146"/>
        <w:gridCol w:w="826"/>
        <w:gridCol w:w="146"/>
        <w:gridCol w:w="3316"/>
      </w:tblGrid>
      <w:tr>
        <w:trPr/>
        <w:tc>
          <w:tcPr>
            <w:tcW w:w="31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310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826"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Trading</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31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 of each exchange on which registered</w:t>
            </w:r>
          </w:p>
        </w:tc>
      </w:tr>
      <w:tr>
        <w:trPr/>
        <w:tc>
          <w:tcPr>
            <w:tcW w:w="31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Common Stock, par value $0.01 per share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SLDE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3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Nasdaq Global Select Market</w:t>
            </w:r>
          </w:p>
        </w:tc>
      </w:tr>
    </w:tbl>
    <w:p>
      <w:pPr>
        <w:pStyle w:val="TextBody"/>
        <w:bidi w:val="0"/>
        <w:spacing w:before="80" w:after="283"/>
        <w:jc w:val="left"/>
        <w:rPr>
          <w:rFonts w:ascii="Times New Roman" w:hAnsi="Times New Roman"/>
          <w:sz w:val="20"/>
        </w:rPr>
      </w:pPr>
      <w:r>
        <w:rPr>
          <w:rFonts w:ascii="Times New Roman" w:hAnsi="Times New Roman"/>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 </w:t>
      </w:r>
      <w:r>
        <w:rPr>
          <w:rFonts w:ascii="Times New Roman" w:hAnsi="Times New Roman"/>
          <w:color w:val="000000"/>
          <w:sz w:val="18"/>
        </w:rPr>
        <w:t xml:space="preserve">No </w:t>
      </w:r>
      <w:r>
        <w:rPr>
          <w:rFonts w:ascii="Times New Roman" w:hAnsi="Times New Roman"/>
          <w:color w:val="000000"/>
          <w:sz w:val="20"/>
        </w:rPr>
        <w:t>☐</w:t>
      </w:r>
    </w:p>
    <w:p>
      <w:pPr>
        <w:pStyle w:val="TextBody"/>
        <w:bidi w:val="0"/>
        <w:spacing w:before="60" w:after="283"/>
        <w:jc w:val="left"/>
        <w:rPr>
          <w:rFonts w:ascii="Times New Roman" w:hAnsi="Times New Roman"/>
          <w:sz w:val="20"/>
        </w:rPr>
      </w:pPr>
      <w:r>
        <w:rPr>
          <w:rFonts w:ascii="Times New Roman" w:hAnsi="Times New Roman"/>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 w:hAnsi="Times New Roman"/>
          <w:color w:val="000000"/>
          <w:sz w:val="20"/>
        </w:rPr>
        <w:t xml:space="preserve"> ☒ </w:t>
      </w:r>
      <w:r>
        <w:rPr>
          <w:rFonts w:ascii="Times New Roman" w:hAnsi="Times New Roman"/>
          <w:color w:val="000000"/>
          <w:sz w:val="18"/>
        </w:rPr>
        <w:t xml:space="preserve">No </w:t>
      </w:r>
      <w:r>
        <w:rPr>
          <w:rFonts w:ascii="Times New Roman" w:hAnsi="Times New Roman"/>
          <w:color w:val="000000"/>
          <w:sz w:val="20"/>
        </w:rPr>
        <w:t xml:space="preserve">☐ </w:t>
      </w:r>
    </w:p>
    <w:p>
      <w:pPr>
        <w:pStyle w:val="TextBody"/>
        <w:bidi w:val="0"/>
        <w:spacing w:before="60" w:after="283"/>
        <w:jc w:val="left"/>
        <w:rPr>
          <w:rFonts w:ascii="Times New Roman" w:hAnsi="Times New Roman"/>
          <w:color w:val="000000"/>
          <w:sz w:val="18"/>
        </w:rPr>
      </w:pPr>
      <w:r>
        <w:rPr>
          <w:rFonts w:ascii="Times New Roman" w:hAnsi="Times New Roman"/>
          <w:color w:val="000000"/>
          <w:sz w:val="18"/>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TextBody"/>
        <w:bidi w:val="0"/>
        <w:jc w:val="left"/>
        <w:rPr/>
      </w:pPr>
      <w:r>
        <w:rPr/>
        <w:t> </w:t>
      </w:r>
    </w:p>
    <w:tbl>
      <w:tblPr>
        <w:tblW w:w="5197" w:type="dxa"/>
        <w:jc w:val="left"/>
        <w:tblInd w:w="0" w:type="dxa"/>
        <w:tblLayout w:type="fixed"/>
        <w:tblCellMar>
          <w:top w:w="28" w:type="dxa"/>
          <w:left w:w="28" w:type="dxa"/>
          <w:bottom w:w="28" w:type="dxa"/>
          <w:right w:w="28" w:type="dxa"/>
        </w:tblCellMar>
      </w:tblPr>
      <w:tblGrid>
        <w:gridCol w:w="2056"/>
        <w:gridCol w:w="146"/>
        <w:gridCol w:w="316"/>
        <w:gridCol w:w="146"/>
        <w:gridCol w:w="2026"/>
        <w:gridCol w:w="146"/>
        <w:gridCol w:w="361"/>
      </w:tblGrid>
      <w:tr>
        <w:trPr/>
        <w:tc>
          <w:tcPr>
            <w:tcW w:w="20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Large 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Smaller reporting company</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Emerging growth company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color w:val="000000"/>
          <w:sz w:val="20"/>
        </w:rPr>
        <w:t>☐</w:t>
      </w:r>
    </w:p>
    <w:p>
      <w:pPr>
        <w:pStyle w:val="TextBody"/>
        <w:bidi w:val="0"/>
        <w:spacing w:before="60" w:after="283"/>
        <w:jc w:val="left"/>
        <w:rPr>
          <w:rFonts w:ascii="Times New Roman" w:hAnsi="Times New Roman"/>
          <w:sz w:val="20"/>
        </w:rPr>
      </w:pPr>
      <w:r>
        <w:rPr>
          <w:rFonts w:ascii="Times New Roman" w:hAnsi="Times New Roman"/>
          <w:color w:val="000000"/>
          <w:sz w:val="18"/>
        </w:rPr>
        <w:t xml:space="preserve">Indicate by check mark whether the registrant is a shell company (as defined in Rule 12b-2 of the Exchange Act). Yes </w:t>
      </w:r>
      <w:r>
        <w:rPr>
          <w:rFonts w:ascii="Times New Roman" w:hAnsi="Times New Roman"/>
          <w:color w:val="000000"/>
          <w:sz w:val="20"/>
        </w:rPr>
        <w:t xml:space="preserve">☐ </w:t>
      </w:r>
      <w:r>
        <w:rPr>
          <w:rFonts w:ascii="Times New Roman" w:hAnsi="Times New Roman"/>
          <w:color w:val="000000"/>
          <w:sz w:val="18"/>
        </w:rPr>
        <w:t xml:space="preserve">No </w:t>
      </w:r>
      <w:r>
        <w:rPr>
          <w:rFonts w:ascii="Times New Roman" w:hAnsi="Times New Roman"/>
          <w:color w:val="000000"/>
          <w:sz w:val="20"/>
        </w:rPr>
        <w:t>☒</w:t>
      </w:r>
    </w:p>
    <w:p>
      <w:pPr>
        <w:pStyle w:val="TextBody"/>
        <w:bidi w:val="0"/>
        <w:spacing w:before="60" w:after="283"/>
        <w:jc w:val="left"/>
        <w:rPr>
          <w:rFonts w:ascii="Times New Roman" w:hAnsi="Times New Roman"/>
          <w:sz w:val="20"/>
        </w:rPr>
      </w:pPr>
      <w:r>
        <w:rPr>
          <w:rFonts w:ascii="Times New Roman" w:hAnsi="Times New Roman"/>
          <w:color w:val="000000"/>
          <w:sz w:val="18"/>
        </w:rPr>
        <w:t>As of April 30, 2026, the registrant had 114,559,246</w:t>
      </w:r>
      <w:r>
        <w:rPr>
          <w:rFonts w:ascii="Times New Roman" w:hAnsi="Times New Roman"/>
          <w:color w:val="000000"/>
          <w:sz w:val="20"/>
        </w:rPr>
        <w:t xml:space="preserve"> </w:t>
      </w:r>
      <w:r>
        <w:rPr>
          <w:rFonts w:ascii="Times New Roman" w:hAnsi="Times New Roman"/>
          <w:color w:val="000000"/>
          <w:sz w:val="18"/>
        </w:rPr>
        <w:t>shares of common stock, $0.01 par value per share, outstanding.</w:t>
      </w:r>
    </w:p>
    <w:p>
      <w:pPr>
        <w:pStyle w:val="TextBody"/>
        <w:pBdr>
          <w:bottom w:val="double" w:sz="6" w:space="1" w:color="000000"/>
        </w:pBdr>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Table of Contents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850"/>
        <w:gridCol w:w="8843"/>
        <w:gridCol w:w="512"/>
      </w:tblGrid>
      <w:tr>
        <w:trPr/>
        <w:tc>
          <w:tcPr>
            <w:tcW w:w="850" w:type="dxa"/>
            <w:tcBorders/>
            <w:vAlign w:val="center"/>
          </w:tcPr>
          <w:p>
            <w:pPr>
              <w:pStyle w:val="TableContents"/>
              <w:bidi w:val="0"/>
              <w:spacing w:before="0" w:after="283"/>
              <w:jc w:val="left"/>
              <w:rPr>
                <w:sz w:val="4"/>
                <w:szCs w:val="4"/>
              </w:rPr>
            </w:pPr>
            <w:r>
              <w:rPr>
                <w:sz w:val="4"/>
                <w:szCs w:val="4"/>
              </w:rPr>
            </w:r>
          </w:p>
        </w:tc>
        <w:tc>
          <w:tcPr>
            <w:tcW w:w="8843"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ind w:left="0" w:right="0" w:firstLine="137"/>
              <w:jc w:val="left"/>
              <w:rPr>
                <w:sz w:val="4"/>
                <w:szCs w:val="4"/>
              </w:rPr>
            </w:pPr>
            <w:r>
              <w:rPr>
                <w:sz w:val="4"/>
                <w:szCs w:val="4"/>
              </w:rPr>
            </w:r>
          </w:p>
        </w:tc>
      </w:tr>
      <w:tr>
        <w:trPr/>
        <w:tc>
          <w:tcPr>
            <w:tcW w:w="850"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88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Page</w:t>
            </w:r>
          </w:p>
        </w:tc>
      </w:tr>
      <w:tr>
        <w:trPr/>
        <w:tc>
          <w:tcPr>
            <w:tcW w:w="8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w:t>
            </w:r>
          </w:p>
        </w:tc>
        <w:tc>
          <w:tcPr>
            <w:tcW w:w="8843"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_financial_information">
              <w:r>
                <w:rPr>
                  <w:rStyle w:val="InternetLink"/>
                  <w:rFonts w:ascii="Times New Roman" w:hAnsi="Times New Roman"/>
                  <w:color w:val="0000FF"/>
                  <w:sz w:val="20"/>
                  <w:u w:val="single"/>
                </w:rPr>
                <w:t>FINANCIAL INFORMATION</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r>
      <w:tr>
        <w:trPr/>
        <w:tc>
          <w:tcPr>
            <w:tcW w:w="8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8843"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_financial_statements">
              <w:r>
                <w:rPr>
                  <w:rStyle w:val="InternetLink"/>
                  <w:rFonts w:ascii="Times New Roman" w:hAnsi="Times New Roman"/>
                  <w:color w:val="0000FF"/>
                  <w:sz w:val="20"/>
                  <w:u w:val="single"/>
                </w:rPr>
                <w:t>Financial Statements (Unaudited)</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w:t>
            </w:r>
          </w:p>
        </w:tc>
      </w:tr>
      <w:tr>
        <w:trPr/>
        <w:tc>
          <w:tcPr>
            <w:tcW w:w="850"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8843"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balance_sheets">
              <w:r>
                <w:rPr>
                  <w:rStyle w:val="InternetLink"/>
                  <w:rFonts w:ascii="Times New Roman" w:hAnsi="Times New Roman"/>
                  <w:color w:val="0000FF"/>
                  <w:sz w:val="20"/>
                  <w:u w:val="single"/>
                </w:rPr>
                <w:t>Condensed Consolidated Balance Sheets March 31, 2026 (unaudited) and December 31, 2025:</w:t>
              </w:r>
            </w:hyperlink>
            <w:hyperlink w:anchor="balance_sheets">
              <w:r>
                <w:rPr>
                  <w:rStyle w:val="InternetLink"/>
                  <w:rFonts w:ascii="Times New Roman" w:hAnsi="Times New Roman"/>
                  <w:color w:val="0000FF"/>
                  <w:sz w:val="20"/>
                </w:rPr>
                <w:t xml:space="preserve"> </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w:t>
            </w:r>
          </w:p>
        </w:tc>
      </w:tr>
      <w:tr>
        <w:trPr/>
        <w:tc>
          <w:tcPr>
            <w:tcW w:w="850"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8843"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tatements_of_operations">
              <w:r>
                <w:rPr>
                  <w:rStyle w:val="InternetLink"/>
                  <w:rFonts w:ascii="Times New Roman" w:hAnsi="Times New Roman"/>
                  <w:color w:val="0000FF"/>
                  <w:sz w:val="20"/>
                  <w:u w:val="single"/>
                </w:rPr>
                <w:t>Condensed Consolidated Statements of Operations three months ended March 31, 2026 and 2025 (unaudited):</w:t>
              </w:r>
            </w:hyperlink>
            <w:hyperlink w:anchor="statements_of_operations">
              <w:r>
                <w:rPr>
                  <w:rStyle w:val="InternetLink"/>
                  <w:rFonts w:ascii="Times New Roman" w:hAnsi="Times New Roman"/>
                  <w:color w:val="0000FF"/>
                  <w:sz w:val="20"/>
                </w:rPr>
                <w:t xml:space="preserve"> </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2</w:t>
            </w:r>
          </w:p>
        </w:tc>
      </w:tr>
      <w:tr>
        <w:trPr/>
        <w:tc>
          <w:tcPr>
            <w:tcW w:w="850"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8843"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tatements_of_comprehensive_income">
              <w:r>
                <w:rPr>
                  <w:rStyle w:val="InternetLink"/>
                  <w:rFonts w:ascii="Times New Roman" w:hAnsi="Times New Roman"/>
                  <w:color w:val="0000FF"/>
                  <w:sz w:val="20"/>
                  <w:u w:val="single"/>
                </w:rPr>
                <w:t>Condensed Consolidated Statements of Comprehensive Income three months ended March 31, 2026 and 2025 (unaudited):</w:t>
              </w:r>
            </w:hyperlink>
            <w:hyperlink w:anchor="statements_of_comprehensive_income">
              <w:r>
                <w:rPr>
                  <w:rStyle w:val="InternetLink"/>
                  <w:rFonts w:ascii="Times New Roman" w:hAnsi="Times New Roman"/>
                  <w:color w:val="0000FF"/>
                  <w:sz w:val="20"/>
                </w:rPr>
                <w:t xml:space="preserve"> </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3</w:t>
            </w:r>
          </w:p>
        </w:tc>
      </w:tr>
      <w:tr>
        <w:trPr/>
        <w:tc>
          <w:tcPr>
            <w:tcW w:w="850"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8843"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tatements_of_shareholders_equity">
              <w:r>
                <w:rPr>
                  <w:rStyle w:val="InternetLink"/>
                  <w:rFonts w:ascii="Times New Roman" w:hAnsi="Times New Roman"/>
                  <w:color w:val="0000FF"/>
                  <w:sz w:val="20"/>
                  <w:u w:val="single"/>
                </w:rPr>
                <w:t>Condensed Consolidated Statements of Shareholders’ Equity three months ended March 31, 2026 and 2025 (unaudited):</w:t>
              </w:r>
            </w:hyperlink>
            <w:hyperlink w:anchor="statements_of_shareholders_equity">
              <w:r>
                <w:rPr>
                  <w:rStyle w:val="InternetLink"/>
                  <w:rFonts w:ascii="Times New Roman" w:hAnsi="Times New Roman"/>
                  <w:color w:val="0000FF"/>
                  <w:sz w:val="20"/>
                </w:rPr>
                <w:t xml:space="preserve"> </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4</w:t>
            </w:r>
          </w:p>
        </w:tc>
      </w:tr>
      <w:tr>
        <w:trPr/>
        <w:tc>
          <w:tcPr>
            <w:tcW w:w="850"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8843"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tatements_of_cash_flows">
              <w:r>
                <w:rPr>
                  <w:rStyle w:val="InternetLink"/>
                  <w:rFonts w:ascii="Times New Roman" w:hAnsi="Times New Roman"/>
                  <w:color w:val="0000FF"/>
                  <w:sz w:val="20"/>
                  <w:u w:val="single"/>
                </w:rPr>
                <w:t>Condensed Consolidated Statements of Cash Flows three months ended March 31, 2026 and 2025 (unaudited):</w:t>
              </w:r>
            </w:hyperlink>
            <w:r>
              <w:rPr>
                <w:rFonts w:ascii="Times New Roman" w:hAnsi="Times New Roman"/>
                <w:color w:val="000000"/>
                <w:sz w:val="20"/>
              </w:rPr>
              <w:t xml:space="preserve"> </w:t>
            </w:r>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5</w:t>
            </w:r>
          </w:p>
        </w:tc>
      </w:tr>
      <w:tr>
        <w:trPr/>
        <w:tc>
          <w:tcPr>
            <w:tcW w:w="850"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8843"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notes_to_unaudit_consol_financ_statement">
              <w:r>
                <w:rPr>
                  <w:rStyle w:val="InternetLink"/>
                  <w:rFonts w:ascii="Times New Roman" w:hAnsi="Times New Roman"/>
                  <w:color w:val="0000FF"/>
                  <w:sz w:val="20"/>
                  <w:u w:val="single"/>
                </w:rPr>
                <w:t>Notes to Unaudited Condensed Consolidated Financial Statements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r>
      <w:tr>
        <w:trPr/>
        <w:tc>
          <w:tcPr>
            <w:tcW w:w="8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8843"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2_managements_discussion">
              <w:r>
                <w:rPr>
                  <w:rStyle w:val="InternetLink"/>
                  <w:rFonts w:ascii="Times New Roman" w:hAnsi="Times New Roman"/>
                  <w:color w:val="0000FF"/>
                  <w:sz w:val="20"/>
                  <w:u w:val="single"/>
                </w:rPr>
                <w:t>Management’s Discussion and Analysis of Financial Condition and Results of Operations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r>
      <w:tr>
        <w:trPr/>
        <w:tc>
          <w:tcPr>
            <w:tcW w:w="8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8843"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3_quantitative_and_qualitative">
              <w:r>
                <w:rPr>
                  <w:rStyle w:val="InternetLink"/>
                  <w:rFonts w:ascii="Times New Roman" w:hAnsi="Times New Roman"/>
                  <w:color w:val="0000FF"/>
                  <w:sz w:val="20"/>
                  <w:u w:val="single"/>
                </w:rPr>
                <w:t>Quantitative and Qualitative Disclosures About Market Risk</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r>
      <w:tr>
        <w:trPr/>
        <w:tc>
          <w:tcPr>
            <w:tcW w:w="8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8843"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4_controls_and_procedures">
              <w:r>
                <w:rPr>
                  <w:rStyle w:val="InternetLink"/>
                  <w:rFonts w:ascii="Times New Roman" w:hAnsi="Times New Roman"/>
                  <w:color w:val="0000FF"/>
                  <w:sz w:val="20"/>
                  <w:u w:val="single"/>
                </w:rPr>
                <w:t>Controls and Procedures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r>
      <w:tr>
        <w:trPr/>
        <w:tc>
          <w:tcPr>
            <w:tcW w:w="8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II.</w:t>
            </w:r>
          </w:p>
        </w:tc>
        <w:tc>
          <w:tcPr>
            <w:tcW w:w="8843"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i_other_information">
              <w:r>
                <w:rPr>
                  <w:rStyle w:val="InternetLink"/>
                  <w:rFonts w:ascii="Times New Roman" w:hAnsi="Times New Roman"/>
                  <w:color w:val="0000FF"/>
                  <w:sz w:val="20"/>
                  <w:u w:val="single"/>
                </w:rPr>
                <w:t>OTHER INFORMATION</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r>
      <w:tr>
        <w:trPr/>
        <w:tc>
          <w:tcPr>
            <w:tcW w:w="8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8843"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_legal_proceedings">
              <w:r>
                <w:rPr>
                  <w:rStyle w:val="InternetLink"/>
                  <w:rFonts w:ascii="Times New Roman" w:hAnsi="Times New Roman"/>
                  <w:color w:val="0000FF"/>
                  <w:sz w:val="20"/>
                  <w:u w:val="single"/>
                </w:rPr>
                <w:t>Legal Proceedings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r>
      <w:tr>
        <w:trPr/>
        <w:tc>
          <w:tcPr>
            <w:tcW w:w="8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1A.</w:t>
            </w:r>
          </w:p>
        </w:tc>
        <w:tc>
          <w:tcPr>
            <w:tcW w:w="8843"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a_risk_factors">
              <w:r>
                <w:rPr>
                  <w:rStyle w:val="InternetLink"/>
                  <w:rFonts w:ascii="Times New Roman" w:hAnsi="Times New Roman"/>
                  <w:color w:val="0000FF"/>
                  <w:sz w:val="20"/>
                  <w:u w:val="single"/>
                </w:rPr>
                <w:t>Risk Factors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r>
      <w:tr>
        <w:trPr/>
        <w:tc>
          <w:tcPr>
            <w:tcW w:w="8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8843"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2_unregistered_sales_of_equity">
              <w:r>
                <w:rPr>
                  <w:rStyle w:val="InternetLink"/>
                  <w:rFonts w:ascii="Times New Roman" w:hAnsi="Times New Roman"/>
                  <w:color w:val="0000FF"/>
                  <w:sz w:val="20"/>
                  <w:u w:val="single"/>
                </w:rPr>
                <w:t>Unregistered Sales of Equity Securities and Use of Proceeds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r>
      <w:tr>
        <w:trPr/>
        <w:tc>
          <w:tcPr>
            <w:tcW w:w="8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5.</w:t>
            </w:r>
          </w:p>
        </w:tc>
        <w:tc>
          <w:tcPr>
            <w:tcW w:w="8843"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5_other_information">
              <w:r>
                <w:rPr>
                  <w:rStyle w:val="InternetLink"/>
                  <w:rFonts w:ascii="Times New Roman" w:hAnsi="Times New Roman"/>
                  <w:color w:val="0000FF"/>
                  <w:sz w:val="20"/>
                  <w:u w:val="single"/>
                </w:rPr>
                <w:t>Other Information</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r>
      <w:tr>
        <w:trPr/>
        <w:tc>
          <w:tcPr>
            <w:tcW w:w="8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6.</w:t>
            </w:r>
          </w:p>
        </w:tc>
        <w:tc>
          <w:tcPr>
            <w:tcW w:w="8843"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6_exhibits">
              <w:r>
                <w:rPr>
                  <w:rStyle w:val="InternetLink"/>
                  <w:rFonts w:ascii="Times New Roman" w:hAnsi="Times New Roman"/>
                  <w:color w:val="0000FF"/>
                  <w:sz w:val="20"/>
                  <w:u w:val="single"/>
                </w:rPr>
                <w:t>Exhibits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r>
      <w:tr>
        <w:trPr/>
        <w:tc>
          <w:tcPr>
            <w:tcW w:w="969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hyperlink w:anchor="signatures">
              <w:r>
                <w:rPr>
                  <w:rStyle w:val="InternetLink"/>
                  <w:rFonts w:ascii="Times New Roman" w:hAnsi="Times New Roman"/>
                  <w:color w:val="0000FF"/>
                  <w:sz w:val="20"/>
                  <w:u w:val="single"/>
                </w:rPr>
                <w:t>Signatures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r>
    </w:tbl>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 w:name="part_i_financial_information"/>
      <w:bookmarkEnd w:id="2"/>
      <w:r>
        <w:rPr>
          <w:rFonts w:ascii="Times New Roman" w:hAnsi="Times New Roman"/>
          <w:b/>
          <w:color w:val="000000"/>
          <w:sz w:val="20"/>
        </w:rPr>
        <w:t>PART I—FINANCIAL INFORMATION</w:t>
      </w:r>
    </w:p>
    <w:p>
      <w:pPr>
        <w:pStyle w:val="TextBody"/>
        <w:bidi w:val="0"/>
        <w:spacing w:before="240" w:after="283"/>
        <w:jc w:val="left"/>
        <w:rPr>
          <w:rFonts w:ascii="Times New Roman" w:hAnsi="Times New Roman"/>
          <w:b/>
          <w:color w:val="000000"/>
          <w:sz w:val="20"/>
        </w:rPr>
      </w:pPr>
      <w:bookmarkStart w:id="3" w:name="item_1_financial_statements"/>
      <w:bookmarkEnd w:id="3"/>
      <w:r>
        <w:rPr>
          <w:rFonts w:ascii="Times New Roman" w:hAnsi="Times New Roman"/>
          <w:b/>
          <w:color w:val="000000"/>
          <w:sz w:val="20"/>
        </w:rPr>
        <w:t>Item 1. Financial Statements.</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Slide Insurance Holdings, Inc.</w:t>
      </w:r>
    </w:p>
    <w:p>
      <w:pPr>
        <w:pStyle w:val="TextBody"/>
        <w:bidi w:val="0"/>
        <w:jc w:val="center"/>
        <w:rPr>
          <w:rFonts w:ascii="Times New Roman" w:hAnsi="Times New Roman"/>
          <w:b/>
          <w:color w:val="000000"/>
          <w:sz w:val="20"/>
        </w:rPr>
      </w:pPr>
      <w:bookmarkStart w:id="4" w:name="balance_sheets"/>
      <w:bookmarkEnd w:id="4"/>
      <w:r>
        <w:rPr>
          <w:rFonts w:ascii="Times New Roman" w:hAnsi="Times New Roman"/>
          <w:b/>
          <w:color w:val="000000"/>
          <w:sz w:val="20"/>
        </w:rPr>
        <w:t>Condensed Consolidated Balance Sheets</w:t>
      </w:r>
    </w:p>
    <w:p>
      <w:pPr>
        <w:pStyle w:val="TextBody"/>
        <w:bidi w:val="0"/>
        <w:jc w:val="center"/>
        <w:rPr>
          <w:rFonts w:ascii="Times New Roman" w:hAnsi="Times New Roman"/>
          <w:b/>
          <w:i/>
          <w:color w:val="000000"/>
          <w:sz w:val="20"/>
        </w:rPr>
      </w:pPr>
      <w:r>
        <w:rPr>
          <w:rFonts w:ascii="Times New Roman" w:hAnsi="Times New Roman"/>
          <w:b/>
          <w:i/>
          <w:color w:val="000000"/>
          <w:sz w:val="20"/>
        </w:rPr>
        <w:t>(Dollar amounts in thousands, except per share and par value amounts)</w:t>
      </w:r>
    </w:p>
    <w:p>
      <w:pPr>
        <w:pStyle w:val="TextBody"/>
        <w:bidi w:val="0"/>
        <w:jc w:val="left"/>
        <w:rPr/>
      </w:pPr>
      <w:r>
        <w:rPr/>
        <w:t> </w:t>
      </w:r>
    </w:p>
    <w:tbl>
      <w:tblPr>
        <w:tblW w:w="9705" w:type="dxa"/>
        <w:jc w:val="left"/>
        <w:tblInd w:w="0" w:type="dxa"/>
        <w:tblLayout w:type="fixed"/>
        <w:tblCellMar>
          <w:top w:w="28" w:type="dxa"/>
          <w:left w:w="28" w:type="dxa"/>
          <w:bottom w:w="28" w:type="dxa"/>
          <w:right w:w="28" w:type="dxa"/>
        </w:tblCellMar>
      </w:tblPr>
      <w:tblGrid>
        <w:gridCol w:w="6261"/>
        <w:gridCol w:w="146"/>
        <w:gridCol w:w="213"/>
        <w:gridCol w:w="897"/>
        <w:gridCol w:w="146"/>
        <w:gridCol w:w="146"/>
        <w:gridCol w:w="250"/>
        <w:gridCol w:w="1055"/>
        <w:gridCol w:w="591"/>
      </w:tblGrid>
      <w:tr>
        <w:trPr/>
        <w:tc>
          <w:tcPr>
            <w:tcW w:w="62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6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March 31,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December 31, 2025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2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i/>
                <w:color w:val="000000"/>
                <w:sz w:val="15"/>
              </w:rPr>
            </w:pPr>
            <w:r>
              <w:rPr>
                <w:rFonts w:ascii="Times New Roman" w:hAnsi="Times New Roman"/>
                <w:b/>
                <w:i/>
                <w:color w:val="000000"/>
                <w:sz w:val="15"/>
              </w:rPr>
              <w:t>(Unaudited)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0"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Invested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2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15"/>
              </w:rPr>
              <w:t>Fixed-maturity securities, available-for-sale, at estimated fair value (amortized costs: $714,152</w:t>
              <w:br/>
              <w:t>   and $580,122, respectively and allowance for credit losses: $0</w:t>
            </w:r>
            <w:r>
              <w:rPr>
                <w:rFonts w:ascii="Times New Roman" w:hAnsi="Times New Roman"/>
                <w:color w:val="000000"/>
                <w:sz w:val="20"/>
              </w:rPr>
              <w:t> </w:t>
            </w:r>
            <w:r>
              <w:rPr>
                <w:rFonts w:ascii="Times New Roman" w:hAnsi="Times New Roman"/>
                <w:color w:val="000000"/>
                <w:sz w:val="15"/>
              </w:rPr>
              <w:t>and $0</w:t>
            </w:r>
            <w:r>
              <w:rPr>
                <w:rFonts w:ascii="Times New Roman" w:hAnsi="Times New Roman"/>
                <w:color w:val="000000"/>
                <w:sz w:val="20"/>
              </w:rPr>
              <w:t> </w:t>
            </w:r>
            <w:r>
              <w:rPr>
                <w:rFonts w:ascii="Times New Roman" w:hAnsi="Times New Roman"/>
                <w:color w:val="000000"/>
                <w:sz w:val="15"/>
              </w:rPr>
              <w:t>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716,037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589,720</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Other investments,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4,000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26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15"/>
              </w:rPr>
            </w:pPr>
            <w:r>
              <w:rPr>
                <w:rFonts w:ascii="Times New Roman" w:hAnsi="Times New Roman"/>
                <w:b/>
                <w:color w:val="000000"/>
                <w:sz w:val="15"/>
              </w:rPr>
              <w:t>Total invested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8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720,037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0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593,720</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1,217,558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1,201,210</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793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786</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Restricted cash - variable interest entity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482,050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480,972</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Accrued 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9,084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7,281</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Assumed premiums receivable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9,124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34,290</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Premiums receivable, net of allowance for credit loss of $2,723</w:t>
            </w:r>
            <w:r>
              <w:rPr>
                <w:rFonts w:ascii="Times New Roman" w:hAnsi="Times New Roman"/>
                <w:color w:val="000000"/>
                <w:sz w:val="20"/>
              </w:rPr>
              <w:t> </w:t>
            </w:r>
            <w:r>
              <w:rPr>
                <w:rFonts w:ascii="Times New Roman" w:hAnsi="Times New Roman"/>
                <w:color w:val="000000"/>
                <w:sz w:val="15"/>
              </w:rPr>
              <w:t>and $3,294,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69,548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90,576</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Reinsurance recoverable on paid losses, net of allowance for credit loss: $0</w:t>
            </w:r>
            <w:r>
              <w:rPr>
                <w:rFonts w:ascii="Times New Roman" w:hAnsi="Times New Roman"/>
                <w:color w:val="000000"/>
                <w:sz w:val="20"/>
              </w:rPr>
              <w:t> </w:t>
            </w:r>
            <w:r>
              <w:rPr>
                <w:rFonts w:ascii="Times New Roman" w:hAnsi="Times New Roman"/>
                <w:color w:val="000000"/>
                <w:sz w:val="15"/>
              </w:rPr>
              <w:t>and $0,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14,779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16,183</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Reinsurance recoverable on unpaid losses, net of allowance for credit loss: $0</w:t>
            </w:r>
            <w:r>
              <w:rPr>
                <w:rFonts w:ascii="Times New Roman" w:hAnsi="Times New Roman"/>
                <w:color w:val="000000"/>
                <w:sz w:val="20"/>
              </w:rPr>
              <w:t> </w:t>
            </w:r>
            <w:r>
              <w:rPr>
                <w:rFonts w:ascii="Times New Roman" w:hAnsi="Times New Roman"/>
                <w:color w:val="000000"/>
                <w:sz w:val="15"/>
              </w:rPr>
              <w:t>and $0,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130,999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146,128</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Prepaid reinsurance premiums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82,492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202,748</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Deferred income tax assets,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20,813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18,332</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Deferred policy acquisition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88,291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93,728</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Property and equipment,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10,948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11,585</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Right-of-use lease assets, operating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8,050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8,476</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Intangibles,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99</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Goodwill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2,603</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Prepaid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11,425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8,932</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3,736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816</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26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15"/>
              </w:rPr>
            </w:pPr>
            <w:r>
              <w:rPr>
                <w:rFonts w:ascii="Times New Roman" w:hAnsi="Times New Roman"/>
                <w:b/>
                <w:color w:val="000000"/>
                <w:sz w:val="15"/>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8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2,882,360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0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2,918,465</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LIABILITIES AND SHAREHOLDERS’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2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Loss and loss adjustment expense reserves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476,258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439,715</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Unearned premiums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934,414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1,000,611</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Commissions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12,406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9,049</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Deferred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90</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Reinsurance premiums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68,931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160,330</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Long-term debt,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32,386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33,687</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Interest rate swap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62</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Income taxes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117,203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93,555</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Advanced premiums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66,358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30,518</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Premium tax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12,101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5,075</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Accounts payable and accrued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23,163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19,768</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Lease liabilities, operating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9,294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9,649</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Other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16,128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3,115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26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15"/>
              </w:rPr>
            </w:pPr>
            <w:r>
              <w:rPr>
                <w:rFonts w:ascii="Times New Roman" w:hAnsi="Times New Roman"/>
                <w:b/>
                <w:color w:val="000000"/>
                <w:sz w:val="15"/>
              </w:rPr>
              <w:t>Total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8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1,768,748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0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1,805,224</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Shareholders’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2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15"/>
              </w:rPr>
              <w:t>Common Stock (par value $0.01, 1,500,000,000</w:t>
            </w:r>
            <w:r>
              <w:rPr>
                <w:rFonts w:ascii="Times New Roman" w:hAnsi="Times New Roman"/>
                <w:color w:val="000000"/>
                <w:sz w:val="20"/>
              </w:rPr>
              <w:t> </w:t>
            </w:r>
            <w:r>
              <w:rPr>
                <w:rFonts w:ascii="Times New Roman" w:hAnsi="Times New Roman"/>
                <w:color w:val="000000"/>
                <w:sz w:val="15"/>
              </w:rPr>
              <w:t>shares authorized, 117,565,731</w:t>
            </w:r>
            <w:r>
              <w:rPr>
                <w:rFonts w:ascii="Times New Roman" w:hAnsi="Times New Roman"/>
                <w:color w:val="000000"/>
                <w:sz w:val="20"/>
              </w:rPr>
              <w:t> </w:t>
            </w:r>
            <w:r>
              <w:rPr>
                <w:rFonts w:ascii="Times New Roman" w:hAnsi="Times New Roman"/>
                <w:color w:val="000000"/>
                <w:sz w:val="15"/>
              </w:rPr>
              <w:t>and 123,889,446</w:t>
              <w:br/>
              <w:t>   issued and outstanding at March 31, 2026 and December 31, 2025,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1,176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1,239</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Additional paid-in capital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218,342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351,688</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Accumulated other comprehensive income, net of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7,165</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Retained earnings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892,676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753,149</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26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15"/>
              </w:rPr>
            </w:pPr>
            <w:r>
              <w:rPr>
                <w:rFonts w:ascii="Times New Roman" w:hAnsi="Times New Roman"/>
                <w:b/>
                <w:color w:val="000000"/>
                <w:sz w:val="15"/>
              </w:rPr>
              <w:t>Total shareholders’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8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1,113,612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10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1,113,241</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26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15"/>
              </w:rPr>
            </w:pPr>
            <w:r>
              <w:rPr>
                <w:rFonts w:ascii="Times New Roman" w:hAnsi="Times New Roman"/>
                <w:b/>
                <w:color w:val="000000"/>
                <w:sz w:val="15"/>
              </w:rPr>
              <w:t>Total liabilities and shareholders’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8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2,882,360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10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2,918,465</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i/>
          <w:color w:val="000000"/>
          <w:sz w:val="20"/>
        </w:rPr>
        <w:t>See Accompanying Notes to Unaudited Condensed Consolidated Financial Statements</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Slide Insurance Holdings, Inc.</w:t>
      </w:r>
    </w:p>
    <w:p>
      <w:pPr>
        <w:pStyle w:val="TextBody"/>
        <w:bidi w:val="0"/>
        <w:jc w:val="center"/>
        <w:rPr>
          <w:rFonts w:ascii="Times New Roman" w:hAnsi="Times New Roman"/>
          <w:b/>
          <w:color w:val="000000"/>
          <w:sz w:val="20"/>
        </w:rPr>
      </w:pPr>
      <w:bookmarkStart w:id="5" w:name="statements_of_operations"/>
      <w:bookmarkEnd w:id="5"/>
      <w:r>
        <w:rPr>
          <w:rFonts w:ascii="Times New Roman" w:hAnsi="Times New Roman"/>
          <w:b/>
          <w:color w:val="000000"/>
          <w:sz w:val="20"/>
        </w:rPr>
        <w:t>Condensed Consolidated Statements of Operations (Unaudited)</w:t>
      </w:r>
    </w:p>
    <w:p>
      <w:pPr>
        <w:pStyle w:val="TextBody"/>
        <w:bidi w:val="0"/>
        <w:jc w:val="center"/>
        <w:rPr>
          <w:rFonts w:ascii="Times New Roman" w:hAnsi="Times New Roman"/>
          <w:b/>
          <w:i/>
          <w:color w:val="000000"/>
          <w:sz w:val="20"/>
        </w:rPr>
      </w:pPr>
      <w:r>
        <w:rPr>
          <w:rFonts w:ascii="Times New Roman" w:hAnsi="Times New Roman"/>
          <w:b/>
          <w:i/>
          <w:color w:val="000000"/>
          <w:sz w:val="20"/>
        </w:rPr>
        <w:t>(Dollar amounts in thousands, except per share amounts)</w:t>
      </w:r>
    </w:p>
    <w:p>
      <w:pPr>
        <w:pStyle w:val="TextBody"/>
        <w:bidi w:val="0"/>
        <w:jc w:val="left"/>
        <w:rPr/>
      </w:pPr>
      <w:r>
        <w:rPr/>
        <w:t> </w:t>
      </w:r>
    </w:p>
    <w:tbl>
      <w:tblPr>
        <w:tblW w:w="7594" w:type="dxa"/>
        <w:jc w:val="left"/>
        <w:tblInd w:w="0" w:type="dxa"/>
        <w:tblLayout w:type="fixed"/>
        <w:tblCellMar>
          <w:top w:w="28" w:type="dxa"/>
          <w:left w:w="28" w:type="dxa"/>
          <w:bottom w:w="28" w:type="dxa"/>
          <w:right w:w="28" w:type="dxa"/>
        </w:tblCellMar>
      </w:tblPr>
      <w:tblGrid>
        <w:gridCol w:w="4501"/>
        <w:gridCol w:w="146"/>
        <w:gridCol w:w="211"/>
        <w:gridCol w:w="841"/>
        <w:gridCol w:w="166"/>
        <w:gridCol w:w="146"/>
        <w:gridCol w:w="211"/>
        <w:gridCol w:w="781"/>
        <w:gridCol w:w="591"/>
      </w:tblGrid>
      <w:tr>
        <w:trPr/>
        <w:tc>
          <w:tcPr>
            <w:tcW w:w="45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45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March 31,</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Gross premiums written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414,792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278,249</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 in unearned premiums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66,194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72,642</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450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Gross premiums earned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480,986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350,891</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Ceded premiums earned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(115,103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(84,850</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w:t>
            </w:r>
          </w:p>
        </w:tc>
      </w:tr>
      <w:tr>
        <w:trPr/>
        <w:tc>
          <w:tcPr>
            <w:tcW w:w="450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Net premiums earned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365,883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266,041</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investment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13,807</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Policy fees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1,534</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50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20"/>
              </w:rPr>
            </w:pPr>
            <w:r>
              <w:rPr>
                <w:rFonts w:ascii="Times New Roman" w:hAnsi="Times New Roman"/>
                <w:b/>
                <w:color w:val="000000"/>
                <w:sz w:val="20"/>
              </w:rPr>
              <w:t>Total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389,283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281,593</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5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5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Losses and loss adjustment expenses incurred,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111,073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83,761</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Policy acquisition and other underwriting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44,125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28,572</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46,173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41,378</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934</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Depreciation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1,146</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Amortization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1,895</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50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20"/>
              </w:rPr>
            </w:pPr>
            <w:r>
              <w:rPr>
                <w:rFonts w:ascii="Times New Roman" w:hAnsi="Times New Roman"/>
                <w:b/>
                <w:color w:val="000000"/>
                <w:sz w:val="20"/>
              </w:rPr>
              <w:t>Total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203,607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157,686</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50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Net income before income tax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185,676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123,907</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50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Income tax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46,149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31,404</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50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139,527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92,503</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5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Weighted average shares outstanding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450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Basic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123,342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56,600</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50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136,588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123,123</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Earnings per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450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Basic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50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0.75</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See Accompanying Notes to Unaudited Condensed Consolidated Financial Statements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Slide Insurance Holdings, Inc.</w:t>
      </w:r>
    </w:p>
    <w:p>
      <w:pPr>
        <w:pStyle w:val="TextBody"/>
        <w:bidi w:val="0"/>
        <w:jc w:val="center"/>
        <w:rPr>
          <w:rFonts w:ascii="Times New Roman" w:hAnsi="Times New Roman"/>
          <w:b/>
          <w:color w:val="000000"/>
          <w:sz w:val="20"/>
        </w:rPr>
      </w:pPr>
      <w:bookmarkStart w:id="6" w:name="statements_of_comprehensive_income"/>
      <w:bookmarkEnd w:id="6"/>
      <w:r>
        <w:rPr>
          <w:rFonts w:ascii="Times New Roman" w:hAnsi="Times New Roman"/>
          <w:b/>
          <w:color w:val="000000"/>
          <w:sz w:val="20"/>
        </w:rPr>
        <w:t>Condensed Consolidated Statements of Comprehensive Income (Unaudited)</w:t>
      </w:r>
    </w:p>
    <w:p>
      <w:pPr>
        <w:pStyle w:val="TextBody"/>
        <w:bidi w:val="0"/>
        <w:jc w:val="center"/>
        <w:rPr>
          <w:rFonts w:ascii="Times New Roman" w:hAnsi="Times New Roman"/>
          <w:b/>
          <w:i/>
          <w:color w:val="000000"/>
          <w:sz w:val="20"/>
        </w:rPr>
      </w:pPr>
      <w:r>
        <w:rPr>
          <w:rFonts w:ascii="Times New Roman" w:hAnsi="Times New Roman"/>
          <w:b/>
          <w:i/>
          <w:color w:val="000000"/>
          <w:sz w:val="20"/>
        </w:rPr>
        <w:t>(Dollar amounts in thousands)</w:t>
      </w:r>
    </w:p>
    <w:p>
      <w:pPr>
        <w:pStyle w:val="TextBody"/>
        <w:bidi w:val="0"/>
        <w:jc w:val="left"/>
        <w:rPr/>
      </w:pPr>
      <w:r>
        <w:rPr/>
        <w:t> </w:t>
      </w:r>
    </w:p>
    <w:tbl>
      <w:tblPr>
        <w:tblW w:w="7734" w:type="dxa"/>
        <w:jc w:val="left"/>
        <w:tblInd w:w="0" w:type="dxa"/>
        <w:tblLayout w:type="fixed"/>
        <w:tblCellMar>
          <w:top w:w="28" w:type="dxa"/>
          <w:left w:w="28" w:type="dxa"/>
          <w:bottom w:w="28" w:type="dxa"/>
          <w:right w:w="28" w:type="dxa"/>
        </w:tblCellMar>
      </w:tblPr>
      <w:tblGrid>
        <w:gridCol w:w="4806"/>
        <w:gridCol w:w="146"/>
        <w:gridCol w:w="211"/>
        <w:gridCol w:w="781"/>
        <w:gridCol w:w="166"/>
        <w:gridCol w:w="146"/>
        <w:gridCol w:w="211"/>
        <w:gridCol w:w="676"/>
        <w:gridCol w:w="591"/>
      </w:tblGrid>
      <w:tr>
        <w:trPr/>
        <w:tc>
          <w:tcPr>
            <w:tcW w:w="48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48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March 31,</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139,527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92,503</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8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Unrealized gains (losses) on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(7,713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4,638</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80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Other comprehensive gain (loss), before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(7,713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4,638</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8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Income tax expense on other comprehensive gain (loss)</w:t>
              <w:br/>
              <w:t>   on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1,163</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8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Income tax expense on other comprehensive gain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1,163</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80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Other comprehensive gain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(5,747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3,475</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80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Comprehensive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133,780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95,978</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i/>
          <w:color w:val="000000"/>
          <w:sz w:val="20"/>
        </w:rPr>
        <w:t>See Accompanying Notes to Unaudited Condensed Consolidated Financial Statements</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Slide Insurance Holdings, Inc.</w:t>
      </w:r>
    </w:p>
    <w:p>
      <w:pPr>
        <w:pStyle w:val="TextBody"/>
        <w:bidi w:val="0"/>
        <w:jc w:val="center"/>
        <w:rPr>
          <w:rFonts w:ascii="Times New Roman" w:hAnsi="Times New Roman"/>
          <w:b/>
          <w:color w:val="000000"/>
          <w:sz w:val="20"/>
        </w:rPr>
      </w:pPr>
      <w:bookmarkStart w:id="7" w:name="statements_of_shareholders_equity"/>
      <w:bookmarkEnd w:id="7"/>
      <w:r>
        <w:rPr>
          <w:rFonts w:ascii="Times New Roman" w:hAnsi="Times New Roman"/>
          <w:b/>
          <w:color w:val="000000"/>
          <w:sz w:val="20"/>
        </w:rPr>
        <w:t>Condensed Consolidated Statements of Shareholders’ Equity (Unaudited)</w:t>
      </w:r>
    </w:p>
    <w:p>
      <w:pPr>
        <w:pStyle w:val="TextBody"/>
        <w:bidi w:val="0"/>
        <w:jc w:val="center"/>
        <w:rPr>
          <w:rFonts w:ascii="Times New Roman" w:hAnsi="Times New Roman"/>
          <w:b/>
          <w:i/>
          <w:color w:val="000000"/>
          <w:sz w:val="20"/>
        </w:rPr>
      </w:pPr>
      <w:r>
        <w:rPr>
          <w:rFonts w:ascii="Times New Roman" w:hAnsi="Times New Roman"/>
          <w:b/>
          <w:i/>
          <w:color w:val="000000"/>
          <w:sz w:val="20"/>
        </w:rPr>
        <w:t>(Dollar amounts in thousands)</w:t>
      </w:r>
    </w:p>
    <w:tbl>
      <w:tblPr>
        <w:tblW w:w="11422" w:type="dxa"/>
        <w:jc w:val="left"/>
        <w:tblInd w:w="0" w:type="dxa"/>
        <w:tblLayout w:type="fixed"/>
        <w:tblCellMar>
          <w:top w:w="28" w:type="dxa"/>
          <w:left w:w="28" w:type="dxa"/>
          <w:bottom w:w="28" w:type="dxa"/>
          <w:right w:w="28" w:type="dxa"/>
        </w:tblCellMar>
      </w:tblPr>
      <w:tblGrid>
        <w:gridCol w:w="1371"/>
        <w:gridCol w:w="146"/>
        <w:gridCol w:w="146"/>
        <w:gridCol w:w="1006"/>
        <w:gridCol w:w="166"/>
        <w:gridCol w:w="146"/>
        <w:gridCol w:w="196"/>
        <w:gridCol w:w="511"/>
        <w:gridCol w:w="166"/>
        <w:gridCol w:w="146"/>
        <w:gridCol w:w="146"/>
        <w:gridCol w:w="916"/>
        <w:gridCol w:w="146"/>
        <w:gridCol w:w="146"/>
        <w:gridCol w:w="196"/>
        <w:gridCol w:w="376"/>
        <w:gridCol w:w="146"/>
        <w:gridCol w:w="146"/>
        <w:gridCol w:w="196"/>
        <w:gridCol w:w="751"/>
        <w:gridCol w:w="166"/>
        <w:gridCol w:w="146"/>
        <w:gridCol w:w="196"/>
        <w:gridCol w:w="691"/>
        <w:gridCol w:w="146"/>
        <w:gridCol w:w="146"/>
        <w:gridCol w:w="260"/>
        <w:gridCol w:w="761"/>
        <w:gridCol w:w="166"/>
        <w:gridCol w:w="146"/>
        <w:gridCol w:w="196"/>
        <w:gridCol w:w="826"/>
        <w:gridCol w:w="411"/>
      </w:tblGrid>
      <w:tr>
        <w:trPr/>
        <w:tc>
          <w:tcPr>
            <w:tcW w:w="13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13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7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4"/>
              </w:rPr>
            </w:pPr>
            <w:r>
              <w:rPr>
                <w:rFonts w:ascii="Times New Roman" w:hAnsi="Times New Roman"/>
                <w:b/>
                <w:color w:val="000000"/>
                <w:sz w:val="14"/>
              </w:rPr>
              <w:t xml:space="preserve">Common Stock </w:t>
            </w:r>
            <w:r>
              <w:rPr>
                <w:rFonts w:ascii="Times New Roman" w:hAnsi="Times New Roman"/>
                <w:b/>
                <w:color w:val="000000"/>
                <w:sz w:val="9"/>
              </w:rPr>
              <w:t>(a)</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2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4"/>
              </w:rPr>
            </w:pPr>
            <w:r>
              <w:rPr>
                <w:rFonts w:ascii="Times New Roman" w:hAnsi="Times New Roman"/>
                <w:b/>
                <w:color w:val="000000"/>
                <w:sz w:val="14"/>
              </w:rPr>
              <w:t xml:space="preserve">Preferred Stock </w:t>
            </w:r>
            <w:r>
              <w:rPr>
                <w:rFonts w:ascii="Times New Roman" w:hAnsi="Times New Roman"/>
                <w:b/>
                <w:color w:val="000000"/>
                <w:sz w:val="9"/>
              </w:rPr>
              <w:t>(a)</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Additional</w:t>
              <w:br/>
              <w:t>Paid-in</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Retained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Accumulated</w:t>
              <w:br/>
              <w:t>Other</w:t>
              <w:br/>
              <w:t>Comprehensive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Total</w:t>
              <w:br/>
              <w:t>Shareholders’</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3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4"/>
              </w:rPr>
            </w:pPr>
            <w:r>
              <w:rPr>
                <w:rFonts w:ascii="Times New Roman" w:hAnsi="Times New Roman"/>
                <w:b/>
                <w:color w:val="000000"/>
                <w:sz w:val="14"/>
              </w:rPr>
              <w:t xml:space="preserve">Capital </w:t>
            </w:r>
            <w:r>
              <w:rPr>
                <w:rFonts w:ascii="Times New Roman" w:hAnsi="Times New Roman"/>
                <w:b/>
                <w:color w:val="000000"/>
                <w:sz w:val="9"/>
              </w:rPr>
              <w:t>(a)</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Earnings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Income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Equity</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as of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123,889,446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1,239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351,688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753,149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7,165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1,113,241</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3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Exercise of vested common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1,317,848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1,287</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3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Vesting of rsus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137,512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3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3,079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3,079</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3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139,527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139,527</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3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Other 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(5,747</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13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Shares withheld for taxes (net share settlement)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(54,835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(666</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13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Repurchase and retirement of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(7,724,240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(137,032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(137,109</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3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as of March 31,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117,565,731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1,176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218,342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892,676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1,418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1,113,612</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3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3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as of December 31,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56,224,168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51,374,125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122,607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309,191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433,159</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3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Exercise of vested common stock</w:t>
              <w:br/>
              <w:t>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662,541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653</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3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Other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(355</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13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Vesting of RSUs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6,584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3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3,014</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3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92,503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92,503</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3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Other comprehensive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3,475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3,475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3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as of March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56,893,293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51,374,125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125,912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401,694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3,760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532,449</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i/>
          <w:color w:val="000000"/>
          <w:sz w:val="20"/>
        </w:rPr>
        <w:t>(a)</w:t>
      </w:r>
      <w:r>
        <w:rPr>
          <w:rFonts w:ascii="Times New Roman" w:hAnsi="Times New Roman"/>
          <w:color w:val="000000"/>
          <w:sz w:val="20"/>
        </w:rPr>
        <w:t xml:space="preserve"> </w:t>
      </w:r>
      <w:r>
        <w:rPr>
          <w:rFonts w:ascii="Times New Roman" w:hAnsi="Times New Roman"/>
          <w:i/>
          <w:color w:val="000000"/>
          <w:sz w:val="20"/>
        </w:rPr>
        <w:t>All Common Stock share and related dollar information, all Preferred Stock share and related dollar information and Additional Paid-in Capital has been adjusted to reflect the 5.5-for-1 stock split effective June 18, 2025 as discussed in Note 1.</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See Accompanying Notes to Unaudited Condensed Consolidated Financial Statements</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Slide Insurance Holdings, Inc.</w:t>
      </w:r>
    </w:p>
    <w:p>
      <w:pPr>
        <w:pStyle w:val="TextBody"/>
        <w:bidi w:val="0"/>
        <w:jc w:val="center"/>
        <w:rPr>
          <w:rFonts w:ascii="Times New Roman" w:hAnsi="Times New Roman"/>
          <w:b/>
          <w:color w:val="000000"/>
          <w:sz w:val="20"/>
        </w:rPr>
      </w:pPr>
      <w:bookmarkStart w:id="8" w:name="statements_of_cash_flows"/>
      <w:bookmarkEnd w:id="8"/>
      <w:r>
        <w:rPr>
          <w:rFonts w:ascii="Times New Roman" w:hAnsi="Times New Roman"/>
          <w:b/>
          <w:color w:val="000000"/>
          <w:sz w:val="20"/>
        </w:rPr>
        <w:t>Condensed Consolidated Statements of Cash Flows (Unaudited)</w:t>
      </w:r>
    </w:p>
    <w:p>
      <w:pPr>
        <w:pStyle w:val="TextBody"/>
        <w:bidi w:val="0"/>
        <w:jc w:val="center"/>
        <w:rPr>
          <w:rFonts w:ascii="Times New Roman" w:hAnsi="Times New Roman"/>
          <w:b/>
          <w:i/>
          <w:color w:val="000000"/>
          <w:sz w:val="20"/>
        </w:rPr>
      </w:pPr>
      <w:r>
        <w:rPr>
          <w:rFonts w:ascii="Times New Roman" w:hAnsi="Times New Roman"/>
          <w:b/>
          <w:i/>
          <w:color w:val="000000"/>
          <w:sz w:val="20"/>
        </w:rPr>
        <w:t>(Dollar amounts in thousands)</w:t>
      </w:r>
    </w:p>
    <w:p>
      <w:pPr>
        <w:pStyle w:val="TextBody"/>
        <w:bidi w:val="0"/>
        <w:jc w:val="left"/>
        <w:rPr/>
      </w:pPr>
      <w:r>
        <w:rPr/>
        <w:t> </w:t>
      </w:r>
    </w:p>
    <w:tbl>
      <w:tblPr>
        <w:tblW w:w="8334" w:type="dxa"/>
        <w:jc w:val="left"/>
        <w:tblInd w:w="0" w:type="dxa"/>
        <w:tblLayout w:type="fixed"/>
        <w:tblCellMar>
          <w:top w:w="28" w:type="dxa"/>
          <w:left w:w="28" w:type="dxa"/>
          <w:bottom w:w="28" w:type="dxa"/>
          <w:right w:w="28" w:type="dxa"/>
        </w:tblCellMar>
      </w:tblPr>
      <w:tblGrid>
        <w:gridCol w:w="5211"/>
        <w:gridCol w:w="146"/>
        <w:gridCol w:w="181"/>
        <w:gridCol w:w="721"/>
        <w:gridCol w:w="151"/>
        <w:gridCol w:w="146"/>
        <w:gridCol w:w="181"/>
        <w:gridCol w:w="601"/>
        <w:gridCol w:w="996"/>
      </w:tblGrid>
      <w:tr>
        <w:trPr/>
        <w:tc>
          <w:tcPr>
            <w:tcW w:w="5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r>
      <w:tr>
        <w:trPr/>
        <w:tc>
          <w:tcPr>
            <w:tcW w:w="5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Three Months Ended</w:t>
              <w:br/>
              <w:t>March 31,</w:t>
            </w:r>
          </w:p>
        </w:tc>
        <w:tc>
          <w:tcPr>
            <w:tcW w:w="9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2026</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2025</w:t>
            </w:r>
          </w:p>
        </w:tc>
        <w:tc>
          <w:tcPr>
            <w:tcW w:w="9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Cash flows from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2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139,527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92,503</w:t>
            </w:r>
          </w:p>
        </w:tc>
        <w:tc>
          <w:tcPr>
            <w:tcW w:w="9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2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Adjustments to reconcile net income to net cash provided by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52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5"/>
              </w:rPr>
            </w:pPr>
            <w:r>
              <w:rPr>
                <w:rFonts w:ascii="Times New Roman" w:hAnsi="Times New Roman"/>
                <w:color w:val="000000"/>
                <w:sz w:val="15"/>
              </w:rPr>
              <w:t>Provision for 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1,384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3,041</w:t>
            </w:r>
          </w:p>
        </w:tc>
        <w:tc>
          <w:tcPr>
            <w:tcW w:w="99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2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5"/>
              </w:rPr>
            </w:pPr>
            <w:r>
              <w:rPr>
                <w:rFonts w:ascii="Times New Roman" w:hAnsi="Times New Roman"/>
                <w:color w:val="000000"/>
                <w:sz w:val="15"/>
              </w:rPr>
              <w:t>Deferred income tax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(513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(7,921</w:t>
            </w:r>
          </w:p>
        </w:tc>
        <w:tc>
          <w:tcPr>
            <w:tcW w:w="99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5"/>
              </w:rPr>
            </w:pPr>
            <w:r>
              <w:rPr>
                <w:rFonts w:ascii="Times New Roman" w:hAnsi="Times New Roman"/>
                <w:color w:val="000000"/>
                <w:sz w:val="15"/>
              </w:rPr>
              <w:t>)</w:t>
            </w:r>
          </w:p>
        </w:tc>
      </w:tr>
      <w:tr>
        <w:trPr/>
        <w:tc>
          <w:tcPr>
            <w:tcW w:w="52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5"/>
              </w:rPr>
            </w:pPr>
            <w:r>
              <w:rPr>
                <w:rFonts w:ascii="Times New Roman" w:hAnsi="Times New Roman"/>
                <w:color w:val="000000"/>
                <w:sz w:val="15"/>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3,079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3,014</w:t>
            </w:r>
          </w:p>
        </w:tc>
        <w:tc>
          <w:tcPr>
            <w:tcW w:w="99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2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5"/>
              </w:rPr>
            </w:pPr>
            <w:r>
              <w:rPr>
                <w:rFonts w:ascii="Times New Roman" w:hAnsi="Times New Roman"/>
                <w:color w:val="000000"/>
                <w:sz w:val="15"/>
              </w:rPr>
              <w:t>Amortization of deferred loan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199</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184</w:t>
            </w:r>
          </w:p>
        </w:tc>
        <w:tc>
          <w:tcPr>
            <w:tcW w:w="99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2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5"/>
              </w:rPr>
            </w:pPr>
            <w:r>
              <w:rPr>
                <w:rFonts w:ascii="Times New Roman" w:hAnsi="Times New Roman"/>
                <w:color w:val="000000"/>
                <w:sz w:val="15"/>
              </w:rPr>
              <w:t>Gain on sale of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w:t>
            </w:r>
          </w:p>
        </w:tc>
        <w:tc>
          <w:tcPr>
            <w:tcW w:w="99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5"/>
              </w:rPr>
            </w:pPr>
            <w:r>
              <w:rPr>
                <w:rFonts w:ascii="Times New Roman" w:hAnsi="Times New Roman"/>
                <w:color w:val="000000"/>
                <w:sz w:val="15"/>
              </w:rPr>
              <w:t>)</w:t>
            </w:r>
          </w:p>
        </w:tc>
      </w:tr>
      <w:tr>
        <w:trPr/>
        <w:tc>
          <w:tcPr>
            <w:tcW w:w="52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5"/>
              </w:rPr>
            </w:pPr>
            <w:r>
              <w:rPr>
                <w:rFonts w:ascii="Times New Roman" w:hAnsi="Times New Roman"/>
                <w:color w:val="000000"/>
                <w:sz w:val="15"/>
              </w:rPr>
              <w:t>Net amortization of premiums on investments in fixed-maturity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(643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(794</w:t>
            </w:r>
          </w:p>
        </w:tc>
        <w:tc>
          <w:tcPr>
            <w:tcW w:w="99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5"/>
              </w:rPr>
            </w:pPr>
            <w:r>
              <w:rPr>
                <w:rFonts w:ascii="Times New Roman" w:hAnsi="Times New Roman"/>
                <w:color w:val="000000"/>
                <w:sz w:val="15"/>
              </w:rPr>
              <w:t>)</w:t>
            </w:r>
          </w:p>
        </w:tc>
      </w:tr>
      <w:tr>
        <w:trPr/>
        <w:tc>
          <w:tcPr>
            <w:tcW w:w="52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5"/>
              </w:rPr>
            </w:pPr>
            <w:r>
              <w:rPr>
                <w:rFonts w:ascii="Times New Roman" w:hAnsi="Times New Roman"/>
                <w:color w:val="000000"/>
                <w:sz w:val="15"/>
              </w:rPr>
              <w:t>Change in value of interest rate swap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22</w:t>
            </w:r>
          </w:p>
        </w:tc>
        <w:tc>
          <w:tcPr>
            <w:tcW w:w="99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2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5"/>
              </w:rPr>
            </w:pPr>
            <w:r>
              <w:rPr>
                <w:rFonts w:ascii="Times New Roman" w:hAnsi="Times New Roman"/>
                <w:color w:val="000000"/>
                <w:sz w:val="15"/>
              </w:rPr>
              <w:t>Change in operating assets and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6"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right"/>
              <w:rPr/>
            </w:pPr>
            <w:r>
              <w:rPr/>
              <w:t> </w:t>
            </w:r>
          </w:p>
        </w:tc>
      </w:tr>
      <w:tr>
        <w:trPr/>
        <w:tc>
          <w:tcPr>
            <w:tcW w:w="521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5"/>
              </w:rPr>
            </w:pPr>
            <w:r>
              <w:rPr>
                <w:rFonts w:ascii="Times New Roman" w:hAnsi="Times New Roman"/>
                <w:color w:val="000000"/>
                <w:sz w:val="15"/>
              </w:rPr>
              <w:t>Accrued 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(1,803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(544</w:t>
            </w:r>
          </w:p>
        </w:tc>
        <w:tc>
          <w:tcPr>
            <w:tcW w:w="99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5"/>
              </w:rPr>
            </w:pPr>
            <w:r>
              <w:rPr>
                <w:rFonts w:ascii="Times New Roman" w:hAnsi="Times New Roman"/>
                <w:color w:val="000000"/>
                <w:sz w:val="15"/>
              </w:rPr>
              <w:t>)</w:t>
            </w:r>
          </w:p>
        </w:tc>
      </w:tr>
      <w:tr>
        <w:trPr/>
        <w:tc>
          <w:tcPr>
            <w:tcW w:w="521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5"/>
              </w:rPr>
            </w:pPr>
            <w:r>
              <w:rPr>
                <w:rFonts w:ascii="Times New Roman" w:hAnsi="Times New Roman"/>
                <w:color w:val="000000"/>
                <w:sz w:val="15"/>
              </w:rPr>
              <w:t>Premiums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46,194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(13,527</w:t>
            </w:r>
          </w:p>
        </w:tc>
        <w:tc>
          <w:tcPr>
            <w:tcW w:w="996"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5"/>
              </w:rPr>
            </w:pPr>
            <w:r>
              <w:rPr>
                <w:rFonts w:ascii="Times New Roman" w:hAnsi="Times New Roman"/>
                <w:color w:val="000000"/>
                <w:sz w:val="15"/>
              </w:rPr>
              <w:t>)</w:t>
            </w:r>
          </w:p>
        </w:tc>
      </w:tr>
      <w:tr>
        <w:trPr/>
        <w:tc>
          <w:tcPr>
            <w:tcW w:w="521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5"/>
              </w:rPr>
            </w:pPr>
            <w:r>
              <w:rPr>
                <w:rFonts w:ascii="Times New Roman" w:hAnsi="Times New Roman"/>
                <w:color w:val="000000"/>
                <w:sz w:val="15"/>
              </w:rPr>
              <w:t>Reinsurance recoverable on paid losses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1,404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(28,294</w:t>
            </w:r>
          </w:p>
        </w:tc>
        <w:tc>
          <w:tcPr>
            <w:tcW w:w="99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5"/>
              </w:rPr>
            </w:pPr>
            <w:r>
              <w:rPr>
                <w:rFonts w:ascii="Times New Roman" w:hAnsi="Times New Roman"/>
                <w:color w:val="000000"/>
                <w:sz w:val="15"/>
              </w:rPr>
              <w:t>)</w:t>
            </w:r>
          </w:p>
        </w:tc>
      </w:tr>
      <w:tr>
        <w:trPr/>
        <w:tc>
          <w:tcPr>
            <w:tcW w:w="521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5"/>
              </w:rPr>
            </w:pPr>
            <w:r>
              <w:rPr>
                <w:rFonts w:ascii="Times New Roman" w:hAnsi="Times New Roman"/>
                <w:color w:val="000000"/>
                <w:sz w:val="15"/>
              </w:rPr>
              <w:t>Reinsurance recoverable on unpaid losses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15,129</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57,096</w:t>
            </w:r>
          </w:p>
        </w:tc>
        <w:tc>
          <w:tcPr>
            <w:tcW w:w="996"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521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5"/>
              </w:rPr>
            </w:pPr>
            <w:r>
              <w:rPr>
                <w:rFonts w:ascii="Times New Roman" w:hAnsi="Times New Roman"/>
                <w:color w:val="000000"/>
                <w:sz w:val="15"/>
              </w:rPr>
              <w:t>Prepaid reinsurance premiums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120,256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90,515</w:t>
            </w:r>
          </w:p>
        </w:tc>
        <w:tc>
          <w:tcPr>
            <w:tcW w:w="99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521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5"/>
              </w:rPr>
            </w:pPr>
            <w:r>
              <w:rPr>
                <w:rFonts w:ascii="Times New Roman" w:hAnsi="Times New Roman"/>
                <w:color w:val="000000"/>
                <w:sz w:val="15"/>
              </w:rPr>
              <w:t>Prepaid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(2,493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(767</w:t>
            </w:r>
          </w:p>
        </w:tc>
        <w:tc>
          <w:tcPr>
            <w:tcW w:w="996"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5"/>
              </w:rPr>
            </w:pPr>
            <w:r>
              <w:rPr>
                <w:rFonts w:ascii="Times New Roman" w:hAnsi="Times New Roman"/>
                <w:color w:val="000000"/>
                <w:sz w:val="15"/>
              </w:rPr>
              <w:t>)</w:t>
            </w:r>
          </w:p>
        </w:tc>
      </w:tr>
      <w:tr>
        <w:trPr/>
        <w:tc>
          <w:tcPr>
            <w:tcW w:w="521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5"/>
              </w:rPr>
            </w:pPr>
            <w:r>
              <w:rPr>
                <w:rFonts w:ascii="Times New Roman" w:hAnsi="Times New Roman"/>
                <w:color w:val="000000"/>
                <w:sz w:val="15"/>
              </w:rPr>
              <w:t>Deferred policy acquisition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5,437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4,296</w:t>
            </w:r>
          </w:p>
        </w:tc>
        <w:tc>
          <w:tcPr>
            <w:tcW w:w="99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521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5"/>
              </w:rPr>
            </w:pPr>
            <w:r>
              <w:rPr>
                <w:rFonts w:ascii="Times New Roman" w:hAnsi="Times New Roman"/>
                <w:color w:val="000000"/>
                <w:sz w:val="15"/>
              </w:rPr>
              <w:t>Other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(2,920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153</w:t>
            </w:r>
          </w:p>
        </w:tc>
        <w:tc>
          <w:tcPr>
            <w:tcW w:w="996"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521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5"/>
              </w:rPr>
            </w:pPr>
            <w:r>
              <w:rPr>
                <w:rFonts w:ascii="Times New Roman" w:hAnsi="Times New Roman"/>
                <w:color w:val="000000"/>
                <w:sz w:val="15"/>
              </w:rPr>
              <w:t>Loss and loss adjustment expense reserves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36,543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(24,307</w:t>
            </w:r>
          </w:p>
        </w:tc>
        <w:tc>
          <w:tcPr>
            <w:tcW w:w="99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5"/>
              </w:rPr>
            </w:pPr>
            <w:r>
              <w:rPr>
                <w:rFonts w:ascii="Times New Roman" w:hAnsi="Times New Roman"/>
                <w:color w:val="000000"/>
                <w:sz w:val="15"/>
              </w:rPr>
              <w:t>)</w:t>
            </w:r>
          </w:p>
        </w:tc>
      </w:tr>
      <w:tr>
        <w:trPr/>
        <w:tc>
          <w:tcPr>
            <w:tcW w:w="521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5"/>
              </w:rPr>
            </w:pPr>
            <w:r>
              <w:rPr>
                <w:rFonts w:ascii="Times New Roman" w:hAnsi="Times New Roman"/>
                <w:color w:val="000000"/>
                <w:sz w:val="15"/>
              </w:rPr>
              <w:t>Unearned premiums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(66,197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(72,642</w:t>
            </w:r>
          </w:p>
        </w:tc>
        <w:tc>
          <w:tcPr>
            <w:tcW w:w="996"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5"/>
              </w:rPr>
            </w:pPr>
            <w:r>
              <w:rPr>
                <w:rFonts w:ascii="Times New Roman" w:hAnsi="Times New Roman"/>
                <w:color w:val="000000"/>
                <w:sz w:val="15"/>
              </w:rPr>
              <w:t>)</w:t>
            </w:r>
          </w:p>
        </w:tc>
      </w:tr>
      <w:tr>
        <w:trPr/>
        <w:tc>
          <w:tcPr>
            <w:tcW w:w="521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5"/>
              </w:rPr>
            </w:pPr>
            <w:r>
              <w:rPr>
                <w:rFonts w:ascii="Times New Roman" w:hAnsi="Times New Roman"/>
                <w:color w:val="000000"/>
                <w:sz w:val="15"/>
              </w:rPr>
              <w:t>Advanced premiums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35,840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7,831</w:t>
            </w:r>
          </w:p>
        </w:tc>
        <w:tc>
          <w:tcPr>
            <w:tcW w:w="99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521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5"/>
              </w:rPr>
            </w:pPr>
            <w:r>
              <w:rPr>
                <w:rFonts w:ascii="Times New Roman" w:hAnsi="Times New Roman"/>
                <w:color w:val="000000"/>
                <w:sz w:val="15"/>
              </w:rPr>
              <w:t>Income taxes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23,648</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39,337</w:t>
            </w:r>
          </w:p>
        </w:tc>
        <w:tc>
          <w:tcPr>
            <w:tcW w:w="996"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521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5"/>
              </w:rPr>
            </w:pPr>
            <w:r>
              <w:rPr>
                <w:rFonts w:ascii="Times New Roman" w:hAnsi="Times New Roman"/>
                <w:color w:val="000000"/>
                <w:sz w:val="15"/>
              </w:rPr>
              <w:t>Premium taxes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7,026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(1,032</w:t>
            </w:r>
          </w:p>
        </w:tc>
        <w:tc>
          <w:tcPr>
            <w:tcW w:w="99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5"/>
              </w:rPr>
            </w:pPr>
            <w:r>
              <w:rPr>
                <w:rFonts w:ascii="Times New Roman" w:hAnsi="Times New Roman"/>
                <w:color w:val="000000"/>
                <w:sz w:val="15"/>
              </w:rPr>
              <w:t>)</w:t>
            </w:r>
          </w:p>
        </w:tc>
      </w:tr>
      <w:tr>
        <w:trPr/>
        <w:tc>
          <w:tcPr>
            <w:tcW w:w="521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5"/>
              </w:rPr>
            </w:pPr>
            <w:r>
              <w:rPr>
                <w:rFonts w:ascii="Times New Roman" w:hAnsi="Times New Roman"/>
                <w:color w:val="000000"/>
                <w:sz w:val="15"/>
              </w:rPr>
              <w:t>Commissions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3,357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1,546</w:t>
            </w:r>
          </w:p>
        </w:tc>
        <w:tc>
          <w:tcPr>
            <w:tcW w:w="996"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521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5"/>
              </w:rPr>
            </w:pPr>
            <w:r>
              <w:rPr>
                <w:rFonts w:ascii="Times New Roman" w:hAnsi="Times New Roman"/>
                <w:color w:val="000000"/>
                <w:sz w:val="15"/>
              </w:rPr>
              <w:t>Reinsurance premiums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(91,399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(58,195</w:t>
            </w:r>
          </w:p>
        </w:tc>
        <w:tc>
          <w:tcPr>
            <w:tcW w:w="99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5"/>
              </w:rPr>
            </w:pPr>
            <w:r>
              <w:rPr>
                <w:rFonts w:ascii="Times New Roman" w:hAnsi="Times New Roman"/>
                <w:color w:val="000000"/>
                <w:sz w:val="15"/>
              </w:rPr>
              <w:t>)</w:t>
            </w:r>
          </w:p>
        </w:tc>
      </w:tr>
      <w:tr>
        <w:trPr/>
        <w:tc>
          <w:tcPr>
            <w:tcW w:w="521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5"/>
              </w:rPr>
            </w:pPr>
            <w:r>
              <w:rPr>
                <w:rFonts w:ascii="Times New Roman" w:hAnsi="Times New Roman"/>
                <w:color w:val="000000"/>
                <w:sz w:val="15"/>
              </w:rPr>
              <w:t>Accounts payable and accrued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3,395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4,946</w:t>
            </w:r>
          </w:p>
        </w:tc>
        <w:tc>
          <w:tcPr>
            <w:tcW w:w="996"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521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5"/>
              </w:rPr>
            </w:pPr>
            <w:r>
              <w:rPr>
                <w:rFonts w:ascii="Times New Roman" w:hAnsi="Times New Roman"/>
                <w:color w:val="000000"/>
                <w:sz w:val="15"/>
              </w:rPr>
              <w:t>Net lease liability,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w:t>
            </w:r>
          </w:p>
        </w:tc>
        <w:tc>
          <w:tcPr>
            <w:tcW w:w="99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521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5"/>
              </w:rPr>
            </w:pPr>
            <w:r>
              <w:rPr>
                <w:rFonts w:ascii="Times New Roman" w:hAnsi="Times New Roman"/>
                <w:color w:val="000000"/>
                <w:sz w:val="15"/>
              </w:rPr>
              <w:t>Other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13,013</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348</w:t>
            </w:r>
          </w:p>
        </w:tc>
        <w:tc>
          <w:tcPr>
            <w:tcW w:w="99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800"/>
              <w:jc w:val="left"/>
              <w:rPr/>
            </w:pPr>
            <w:r>
              <w:rPr/>
              <w:t> </w:t>
            </w:r>
          </w:p>
        </w:tc>
      </w:tr>
      <w:tr>
        <w:trPr/>
        <w:tc>
          <w:tcPr>
            <w:tcW w:w="5211"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15"/>
              </w:rPr>
            </w:pPr>
            <w:r>
              <w:rPr>
                <w:rFonts w:ascii="Times New Roman" w:hAnsi="Times New Roman"/>
                <w:color w:val="000000"/>
                <w:sz w:val="15"/>
              </w:rPr>
              <w:t>Net cash provided by 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289,488</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96,812</w:t>
            </w:r>
          </w:p>
        </w:tc>
        <w:tc>
          <w:tcPr>
            <w:tcW w:w="9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Cash flows from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2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Purchase of fixed-maturity securities available-for-sale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(151,111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(7,847</w:t>
            </w:r>
          </w:p>
        </w:tc>
        <w:tc>
          <w:tcPr>
            <w:tcW w:w="9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w:t>
            </w:r>
          </w:p>
        </w:tc>
      </w:tr>
      <w:tr>
        <w:trPr/>
        <w:tc>
          <w:tcPr>
            <w:tcW w:w="52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Proceeds from maturities and redemptions of fixed-maturity securities available</w:t>
              <w:br/>
              <w:t>   -for-sale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17,723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20,035</w:t>
            </w:r>
          </w:p>
        </w:tc>
        <w:tc>
          <w:tcPr>
            <w:tcW w:w="9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2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Proceeds from redemption of other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168</w:t>
            </w:r>
          </w:p>
        </w:tc>
        <w:tc>
          <w:tcPr>
            <w:tcW w:w="9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2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Purchase of property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(679</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(588</w:t>
            </w:r>
          </w:p>
        </w:tc>
        <w:tc>
          <w:tcPr>
            <w:tcW w:w="99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800"/>
              <w:jc w:val="left"/>
              <w:rPr>
                <w:rFonts w:ascii="Times New Roman" w:hAnsi="Times New Roman"/>
                <w:color w:val="000000"/>
                <w:sz w:val="15"/>
              </w:rPr>
            </w:pPr>
            <w:r>
              <w:rPr>
                <w:rFonts w:ascii="Times New Roman" w:hAnsi="Times New Roman"/>
                <w:color w:val="000000"/>
                <w:sz w:val="15"/>
              </w:rPr>
              <w:t>)</w:t>
            </w:r>
          </w:p>
        </w:tc>
      </w:tr>
      <w:tr>
        <w:trPr/>
        <w:tc>
          <w:tcPr>
            <w:tcW w:w="5211"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15"/>
              </w:rPr>
            </w:pPr>
            <w:r>
              <w:rPr>
                <w:rFonts w:ascii="Times New Roman" w:hAnsi="Times New Roman"/>
                <w:color w:val="000000"/>
                <w:sz w:val="15"/>
              </w:rPr>
              <w:t>Net cash used in (provided by)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(134,067</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11,768</w:t>
            </w:r>
          </w:p>
        </w:tc>
        <w:tc>
          <w:tcPr>
            <w:tcW w:w="9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Cash flows from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2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Proceeds from issuance of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1,287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651</w:t>
            </w:r>
          </w:p>
        </w:tc>
        <w:tc>
          <w:tcPr>
            <w:tcW w:w="9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2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Other financing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(355</w:t>
            </w:r>
          </w:p>
        </w:tc>
        <w:tc>
          <w:tcPr>
            <w:tcW w:w="9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w:t>
            </w:r>
          </w:p>
        </w:tc>
      </w:tr>
      <w:tr>
        <w:trPr/>
        <w:tc>
          <w:tcPr>
            <w:tcW w:w="52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Payment of debt issuance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(295</w:t>
            </w:r>
          </w:p>
        </w:tc>
        <w:tc>
          <w:tcPr>
            <w:tcW w:w="9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w:t>
            </w:r>
          </w:p>
        </w:tc>
      </w:tr>
      <w:tr>
        <w:trPr/>
        <w:tc>
          <w:tcPr>
            <w:tcW w:w="52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Repayment of long-term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(1,500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(1,500</w:t>
            </w:r>
          </w:p>
        </w:tc>
        <w:tc>
          <w:tcPr>
            <w:tcW w:w="9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w:t>
            </w:r>
          </w:p>
        </w:tc>
      </w:tr>
      <w:tr>
        <w:trPr/>
        <w:tc>
          <w:tcPr>
            <w:tcW w:w="52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Repurchase and retirement of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(137,109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9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2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Shares withheld for taxes (net share settlement)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(666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996"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pPr>
            <w:r>
              <w:rPr/>
              <w:t> </w:t>
            </w:r>
          </w:p>
        </w:tc>
      </w:tr>
      <w:tr>
        <w:trPr/>
        <w:tc>
          <w:tcPr>
            <w:tcW w:w="5211"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15"/>
              </w:rPr>
            </w:pPr>
            <w:r>
              <w:rPr>
                <w:rFonts w:ascii="Times New Roman" w:hAnsi="Times New Roman"/>
                <w:color w:val="000000"/>
                <w:sz w:val="15"/>
              </w:rPr>
              <w:t>Net cash used in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(137,988</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(1,499</w:t>
            </w:r>
          </w:p>
        </w:tc>
        <w:tc>
          <w:tcPr>
            <w:tcW w:w="99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800"/>
              <w:jc w:val="left"/>
              <w:rPr>
                <w:rFonts w:ascii="Times New Roman" w:hAnsi="Times New Roman"/>
                <w:color w:val="000000"/>
                <w:sz w:val="15"/>
              </w:rPr>
            </w:pPr>
            <w:r>
              <w:rPr>
                <w:rFonts w:ascii="Times New Roman" w:hAnsi="Times New Roman"/>
                <w:color w:val="000000"/>
                <w:sz w:val="15"/>
              </w:rPr>
              <w:t>)</w:t>
            </w:r>
          </w:p>
        </w:tc>
      </w:tr>
      <w:tr>
        <w:trPr/>
        <w:tc>
          <w:tcPr>
            <w:tcW w:w="5211"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15"/>
              </w:rPr>
            </w:pPr>
            <w:r>
              <w:rPr>
                <w:rFonts w:ascii="Times New Roman" w:hAnsi="Times New Roman"/>
                <w:color w:val="000000"/>
                <w:sz w:val="15"/>
              </w:rPr>
              <w:t>Net increase in cash, cash equivalents and 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17,433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107,081</w:t>
            </w:r>
          </w:p>
        </w:tc>
        <w:tc>
          <w:tcPr>
            <w:tcW w:w="9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Cash, cash equivalents and restricted cash, beginning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1,682,968</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789,842</w:t>
            </w:r>
          </w:p>
        </w:tc>
        <w:tc>
          <w:tcPr>
            <w:tcW w:w="99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800"/>
              <w:jc w:val="left"/>
              <w:rPr/>
            </w:pPr>
            <w:r>
              <w:rPr/>
              <w:t> </w:t>
            </w:r>
          </w:p>
        </w:tc>
      </w:tr>
      <w:tr>
        <w:trPr/>
        <w:tc>
          <w:tcPr>
            <w:tcW w:w="5211"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15"/>
              </w:rPr>
            </w:pPr>
            <w:r>
              <w:rPr>
                <w:rFonts w:ascii="Times New Roman" w:hAnsi="Times New Roman"/>
                <w:color w:val="000000"/>
                <w:sz w:val="15"/>
              </w:rPr>
              <w:t>Cash, cash equivalents and restricted cash, end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7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1,700,401</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896,923</w:t>
            </w:r>
          </w:p>
        </w:tc>
        <w:tc>
          <w:tcPr>
            <w:tcW w:w="9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Supplemental disclosures of cash flow information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2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Cash paid during the year for: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52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5"/>
              </w:rPr>
            </w:pPr>
            <w:r>
              <w:rPr>
                <w:rFonts w:ascii="Times New Roman" w:hAnsi="Times New Roman"/>
                <w:color w:val="000000"/>
                <w:sz w:val="15"/>
              </w:rPr>
              <w:t>Interest paid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170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720</w:t>
            </w:r>
          </w:p>
        </w:tc>
        <w:tc>
          <w:tcPr>
            <w:tcW w:w="99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2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5"/>
              </w:rPr>
            </w:pPr>
            <w:r>
              <w:rPr>
                <w:rFonts w:ascii="Times New Roman" w:hAnsi="Times New Roman"/>
                <w:color w:val="000000"/>
                <w:sz w:val="15"/>
              </w:rPr>
              <w:t>Income taxes paid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22,512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9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See Accompanying Notes to Unaudited Condensed Consolidated Financial Statements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Slide Insurance Holdings, Inc.</w:t>
      </w:r>
    </w:p>
    <w:p>
      <w:pPr>
        <w:pStyle w:val="TextBody"/>
        <w:bidi w:val="0"/>
        <w:jc w:val="center"/>
        <w:rPr>
          <w:rFonts w:ascii="Times New Roman" w:hAnsi="Times New Roman"/>
          <w:sz w:val="20"/>
        </w:rPr>
      </w:pPr>
      <w:bookmarkStart w:id="9" w:name="notes_to_unaudit_consol_financ_statement"/>
      <w:bookmarkEnd w:id="9"/>
      <w:r>
        <w:rPr>
          <w:rFonts w:ascii="Times New Roman" w:hAnsi="Times New Roman"/>
          <w:b/>
          <w:color w:val="000000"/>
          <w:sz w:val="20"/>
        </w:rPr>
        <w:t>Notes to Unaudited Condensed</w:t>
      </w:r>
      <w:r>
        <w:rPr>
          <w:rFonts w:ascii="Times New Roman" w:hAnsi="Times New Roman"/>
          <w:color w:val="000000"/>
          <w:sz w:val="20"/>
        </w:rPr>
        <w:t xml:space="preserve"> </w:t>
      </w:r>
      <w:r>
        <w:rPr>
          <w:rFonts w:ascii="Times New Roman" w:hAnsi="Times New Roman"/>
          <w:b/>
          <w:color w:val="000000"/>
          <w:sz w:val="20"/>
        </w:rPr>
        <w:t>Consolidated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(Dollar amounts in thousands, except share and per share amounts, unless otherwise stated)</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1.</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 xml:space="preserve">Nature of Business and Significant Accounting Policies </w:t>
      </w:r>
    </w:p>
    <w:p>
      <w:pPr>
        <w:pStyle w:val="TextBody"/>
        <w:bidi w:val="0"/>
        <w:spacing w:before="120" w:after="283"/>
        <w:jc w:val="left"/>
        <w:rPr>
          <w:rFonts w:ascii="Times New Roman" w:hAnsi="Times New Roman"/>
          <w:sz w:val="20"/>
        </w:rPr>
      </w:pPr>
      <w:r>
        <w:rPr>
          <w:rFonts w:ascii="Times New Roman" w:hAnsi="Times New Roman"/>
          <w:b/>
          <w:i/>
          <w:color w:val="000000"/>
          <w:sz w:val="20"/>
        </w:rPr>
        <w:t>Basis of Presentation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accompanying unaudited consolidated financial statements for the Company have been prepared in accordance with accounting principles generally accepted in the United States of America (“U.S. GAAP”) for interim financial information. As of March 31, 2026, there were no changes in the nature of our significant accounting policies or the application of those policies from those reported in our annual report for the year ended December 31, 2025. These unaudited consolidated financial statements and accompanying notes should be read in conjunction with the Company’s audited consolidated financial statements and accompanying notes for the year ended December 31, 2025.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preparing these interim financial statements, management has made judgments and estimates about the future, including climate-related risks and opportunities, that affect the application of accounting policies and the reported amounts of assets and liabilities, income and expenses. Actual results may differ from these estimates. The significant judgments made by management in applying the Company’s accounting policies and the key sources of estimation uncertainty were the same as those described in the last annual financial statements. </w:t>
      </w:r>
    </w:p>
    <w:p>
      <w:pPr>
        <w:pStyle w:val="TextBody"/>
        <w:bidi w:val="0"/>
        <w:spacing w:before="360" w:after="283"/>
        <w:jc w:val="left"/>
        <w:rPr>
          <w:rFonts w:ascii="Times New Roman" w:hAnsi="Times New Roman"/>
          <w:sz w:val="20"/>
        </w:rPr>
      </w:pPr>
      <w:r>
        <w:rPr>
          <w:rFonts w:ascii="Times New Roman" w:hAnsi="Times New Roman"/>
          <w:b/>
          <w:i/>
          <w:color w:val="000000"/>
          <w:sz w:val="20"/>
        </w:rPr>
        <w:t>Nature of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Slide Insurance Holdings, Inc. (“SIH” or the “Company”) is a Delaware holding company incorporated on March 2, 2021. The Company was organized for the purpose of holding investments in operating subsidiaries engaged in property and casualty insurance activities. Subsidiaries include: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Slide Insurance Company (“SIC”) – a wholly owned property casualty insurance company currently writing homeowners insurance policies in Florida and South Carolina.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Slide MGA, LLC (“SMGA”) – a wholly owned managing general agent that performs policy processing and claims administration for SIC.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Stat Claims Company (“STAT”) – a wholly owned claims administrator.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Trusted Mitigation Contractors (“TMC”) – a wholly owned broker of contractors and loss mitigation service providers.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Slide Reinsurance Holdings, LLC (“Slide Re”) – a wholly owned reinsurance company and owner of the segregated cell (White Rock Insurance, Ltd., account T104).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Slide Technologies, LLC (“Slide Tech”) – a wholly owned subsidiary that will license software developed by the Company. This entity has not begun operations.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SJIG Target, LLC (“SJIG”) – a wholly owned non-operating entity that holds contractual renewal rights to a portion of the policies issued by SIC.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Clegg Insurance Advisors, LLC (“Homefront”) – a wholly owned insurance agency acquired by the Company during 2022.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SIH Technologies, LLP (“Slide India”) – a wholly owned non-operating entity that is in the process of being dissolved.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Slide Specialty Insurance Company (“Slide Specialty”) – a wholly owned property casualty insurance company licensed in New York, New Jersey, Rhode Island and South Carolina.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Law Offices of Jonathan Hall, PLLC ("LOJH") - a wholly owned law firm.</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SIC is domiciled in the state of Florida and is a wholly owned subsidiary of SIH. SIC was incorporated on February 17, 2022, and commenced operations on March 1, 2022, after receiving its Certificate of Authority from the Florida Department of Financial Services, Office of Insurance Regulation (the “FLOIR”). SIC provides homeowners insurance coverage to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Slide Insurance Holdings, Inc.</w:t>
      </w:r>
    </w:p>
    <w:p>
      <w:pPr>
        <w:pStyle w:val="TextBody"/>
        <w:bidi w:val="0"/>
        <w:jc w:val="center"/>
        <w:rPr>
          <w:rFonts w:ascii="Times New Roman" w:hAnsi="Times New Roman"/>
          <w:b/>
          <w:color w:val="000000"/>
          <w:sz w:val="20"/>
        </w:rPr>
      </w:pPr>
      <w:r>
        <w:rPr>
          <w:rFonts w:ascii="Times New Roman" w:hAnsi="Times New Roman"/>
          <w:b/>
          <w:color w:val="000000"/>
          <w:sz w:val="20"/>
        </w:rPr>
        <w:t>Notes to Unaudited Condensed Consolidated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(Dollar amounts in thousands, except share and per share amounts, unless otherwise stated)</w:t>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policyholders in Florida and South Carolina, with Florida policyholders representing 97% of direct written premiums written for the three months ended March 31, 2026.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SIC is subject to the broad administrative powers of the FLOIR, which include, but are not limited to, limitation of dividends distributable, modification of management services and tax-sharing agreements, limitations on new and renewal business, and requirements for capital and surplus.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SIH filed its original certificate of incorporation with the Secretary of State of the State of Delaware on March 2, 2021, and was authorized to issue 40.0 million shares of common stock at par value of $0.01 per share and 20.0 million shares of preferred stock at par value of $0.01 per share, pre stock split.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Company amended and restated its articles of incorporation on June 18, 2025, authorizing capital stock of 1.5 billion shares of common stock, par value $0.01 per share, and 150.0 million shares of preferred stock, par value $0.01 per share. As of March 31, 2026 and December 31, 2025, there were 117.6 million and 123.9 million shares of common stock outstanding, respectively, and 0 shares of preferred stock outstanding. </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Stock Split</w:t>
      </w:r>
    </w:p>
    <w:p>
      <w:pPr>
        <w:pStyle w:val="TextBody"/>
        <w:bidi w:val="0"/>
        <w:jc w:val="left"/>
        <w:rPr>
          <w:rFonts w:ascii="Times New Roman" w:hAnsi="Times New Roman"/>
          <w:color w:val="000000"/>
          <w:sz w:val="20"/>
        </w:rPr>
      </w:pPr>
      <w:r>
        <w:rPr>
          <w:rFonts w:ascii="Times New Roman" w:hAnsi="Times New Roman"/>
          <w:color w:val="000000"/>
          <w:sz w:val="20"/>
        </w:rPr>
        <w:t xml:space="preserve">On June 18, 2025, the Company effected a 5.5-for-1 stock split of its common stock and preferred stock. All common stock and preferred stock and per share information included in the accompanying condensed consolidated financial statements and footnotes has been retroactively adjusted to reflect this unit split for all periods presented. </w:t>
      </w:r>
    </w:p>
    <w:p>
      <w:pPr>
        <w:pStyle w:val="TextBody"/>
        <w:bidi w:val="0"/>
        <w:jc w:val="left"/>
        <w:rPr>
          <w:rFonts w:ascii="Times New Roman" w:hAnsi="Times New Roman"/>
          <w:sz w:val="20"/>
        </w:rPr>
      </w:pPr>
      <w:r>
        <w:rPr>
          <w:rFonts w:ascii="Times New Roman" w:hAnsi="Times New Roman"/>
          <w:b/>
          <w:i/>
          <w:color w:val="000000"/>
          <w:sz w:val="20"/>
        </w:rPr>
        <w:t>Completion of Initial Public Offering</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On June 18, 2025, the Company closed its initial public offering ("IPO") of 24.0 million shares of its common stock, of which 16.7 million shares were sold by the Company and 7.3 million shares were sold by certain selling stockholders, at an initial public offering price of $17.00 per share for gross proceeds of $408.0 million. The Company received net proceeds of approximately $263.5 million, net of approximately $19.8 million of underwriting discounts and commissions. The Company did not receive any proceeds from the sale of shares of its common stock by selling stockholders. The Company recorded the transaction within common stock and additional paid-in capital in the condensed consolidated balance sheets as of December 31, 2025. All preferred stock was converted to common stock upon the completion of the IPO.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On June 25, 2025, the underwriters fully exercised their option to purchase an additional 3.6 million shares of common stock from certain selling stockholders of the Company. The purchase of the additional shares brought the gross proceeds from the IPO to $469.2 million. The Company did not receive any proceeds from the sale by such selling stockholders of the additional shares.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Stock Repurchase Program</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On August 26, 2025, the Company's Board of Directors ("Board") authorized the 2025 Stock Repurchase Program ("repurchase program"), which allowed the Company to repurchase, from time to time, up to $75.0 million of common stock through open market repurchases in compliance with Rule 10b-18 under the Securities Exchange Act of 1934, as amended (the “Exchange Act”) and/or in privately negotiated transactions at management’s discretion based on market and business conditions, applicable legal requirements and other factors. On November 4, 2025, the Board authorized an increase to the repurchase program to purchase an additional $45.0 million of common stock. On March 23, 2026, the Company completed the repurchase of the $120 million shares of common stock under the repurchase program.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On March 23, 2026, the Board authorized a new stock repurchase plan, which allowed the Company to repurchase, from time to time, up to $125.0 million of common stock through open market repurchases in compliance with Rule 10b-18 under the Exchange Act and/or in privately negotiated transactions at management’s discretion based on market and business conditions, applicable legal requirements and other factors.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For the three months ended March 31, 2026, under the repurchase program and the new stock repurchase program, the Company repurchased 7,724,240 shares of common stock for $137.1 million.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Upon repurchase, the Company retired the shares of common stock. The repurchase plan has no time deadline and will continue until all authorized shares have been repurchased or otherwise modified or terminated by the Board.</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Slide Insurance Holdings, Inc.</w:t>
      </w:r>
    </w:p>
    <w:p>
      <w:pPr>
        <w:pStyle w:val="TextBody"/>
        <w:bidi w:val="0"/>
        <w:jc w:val="center"/>
        <w:rPr>
          <w:rFonts w:ascii="Times New Roman" w:hAnsi="Times New Roman"/>
          <w:b/>
          <w:color w:val="000000"/>
          <w:sz w:val="20"/>
        </w:rPr>
      </w:pPr>
      <w:r>
        <w:rPr>
          <w:rFonts w:ascii="Times New Roman" w:hAnsi="Times New Roman"/>
          <w:b/>
          <w:color w:val="000000"/>
          <w:sz w:val="20"/>
        </w:rPr>
        <w:t>Notes to Unaudited Condensed Consolidated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(Dollar amounts in thousands, except share and per share amounts, unless otherwise stated)</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Assumed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From time to time, the Company may participate in a “take-out program” through which the Company assumes insurance policies held by Citizens Property Insurance Corporation (“Citizens”), a Florida state-supported insurer. The take-out program is a legislatively mandated program designed to reduce the state’s risk exposure by encouraging private companies to assume policies from Citizens. For the three months ended March 31, 2026, the Company was approved by the FLOIR to assume a total of 101,600 policies. The approval date noted is based on the actual take-out date and not the date the Company received approval to participate from the FLOIR. For the three months ended March 31, 2026, the Company assumed approximately 28,783 policies, representing $92.3 million in annualized gross premiums.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For the three months ended March 31, 2025, the Company was approved by the FLOIR to assume a total of 176,050 policies. The approval date noted is based on the actual take-out date and not the date the Company received approval to participate from the FLOIR. For the three months ended March 31, 2025, the Company assumed approximately 12,159 policies, representing $52.5 million in annualized gross premiums. For the year ended December 31, 2025, the Company was approved by the FLOIR to assume a total of 457,150 policies from Citizens. In 2025, approximately 191,850 policies were assumed from Citizens, representing approximately $595.0 million in annualized gross written premiums related to these transactions. </w:t>
      </w:r>
    </w:p>
    <w:p>
      <w:pPr>
        <w:pStyle w:val="TextBody"/>
        <w:bidi w:val="0"/>
        <w:spacing w:before="360" w:after="283"/>
        <w:jc w:val="left"/>
        <w:rPr>
          <w:rFonts w:ascii="Times New Roman" w:hAnsi="Times New Roman"/>
          <w:sz w:val="20"/>
        </w:rPr>
      </w:pPr>
      <w:r>
        <w:rPr>
          <w:rFonts w:ascii="Times New Roman" w:hAnsi="Times New Roman"/>
          <w:b/>
          <w:i/>
          <w:color w:val="000000"/>
          <w:sz w:val="20"/>
        </w:rPr>
        <w:t>Adoption of New Accounting Standard</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December 2023, the FASB issued ASU 2023-09 Income Taxes (Topic 740): Improvements to Income Tax Disclosures. This update enhances income tax disclosures by requiring public entities to report income tax expense disaggregated by federal, state and foreign taxes, with further detail on specific jurisdictions over a quantitative threshold. In addition, public entities must also separately disclose reconciling items equal to or greater than five percent of pretax income from operations by the applicable federal statutory rate. ASU 2023-09 is effective for all public entities for fiscal years beginning after December 15, 2024. ASU 2023-09 was adopted by the Company effective December 31, 2025 and applied the disclosure requirements retroactively. See Note 7 Income Taxes in the accompanying notes to the condensed consolidated financial statements for further details. </w:t>
      </w:r>
    </w:p>
    <w:p>
      <w:pPr>
        <w:pStyle w:val="TextBody"/>
        <w:bidi w:val="0"/>
        <w:spacing w:before="360" w:after="283"/>
        <w:jc w:val="left"/>
        <w:rPr>
          <w:rFonts w:ascii="Times New Roman" w:hAnsi="Times New Roman"/>
          <w:sz w:val="20"/>
        </w:rPr>
      </w:pPr>
      <w:r>
        <w:rPr>
          <w:rFonts w:ascii="Times New Roman" w:hAnsi="Times New Roman"/>
          <w:b/>
          <w:i/>
          <w:color w:val="000000"/>
          <w:sz w:val="20"/>
        </w:rPr>
        <w:t>Consolidation Policy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Financial Statements include the accounts of the Company, its wholly owned subsidiaries and Variable Interest Entities (“VIEs”) in which the Company is determined to be the primary beneficiary. This analysis includes a review of the VIE’s capital structure, related contractual relationships and terms, nature of the VIE’s operations and purpose, nature of the VIE’s interests issued, and the Company’s involvement with the entity. When assessing the need to consolidate a VIE, the Company evaluates the design of the VIE as well as the related risks to which the entity was designed to expose the variable interest holders. The primary beneficiary is the entity that has both (i) the power to direct the activities of the VIE that most significantly affect the entity’s economic performance and (ii) the obligation to absorb losses or the right to receive benefits that could be potentially significant to the VIE. While also considering these factors, the consolidation conclusion depends on the Company’s decision making ability and its ability to influence activities that significantly affect the economic performance of the VIE. </w:t>
      </w:r>
    </w:p>
    <w:p>
      <w:pPr>
        <w:pStyle w:val="TextBody"/>
        <w:bidi w:val="0"/>
        <w:spacing w:before="360" w:after="283"/>
        <w:jc w:val="left"/>
        <w:rPr>
          <w:rFonts w:ascii="Times New Roman" w:hAnsi="Times New Roman"/>
          <w:sz w:val="20"/>
        </w:rPr>
      </w:pPr>
      <w:r>
        <w:rPr>
          <w:rFonts w:ascii="Times New Roman" w:hAnsi="Times New Roman"/>
          <w:b/>
          <w:i/>
          <w:color w:val="000000"/>
          <w:sz w:val="20"/>
        </w:rPr>
        <w:t>Use of Estimates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preparation of financial statements in conformity with U.S. GAAP requires management to make estimates and assumptions that affect the reported amounts of assets and liabilities and disclosures of contingent assets and liabilities at the date of the financial statements and reported amounts of revenues and expenses during the reporting period. Accordingly, actual results could differ from those estimates. </w:t>
      </w:r>
    </w:p>
    <w:p>
      <w:pPr>
        <w:pStyle w:val="TextBody"/>
        <w:bidi w:val="0"/>
        <w:spacing w:before="360" w:after="283"/>
        <w:jc w:val="left"/>
        <w:rPr>
          <w:rFonts w:ascii="Times New Roman" w:hAnsi="Times New Roman"/>
          <w:sz w:val="20"/>
        </w:rPr>
      </w:pPr>
      <w:r>
        <w:rPr>
          <w:rFonts w:ascii="Times New Roman" w:hAnsi="Times New Roman"/>
          <w:b/>
          <w:i/>
          <w:color w:val="000000"/>
          <w:sz w:val="20"/>
        </w:rPr>
        <w:t>Segment Information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insurance segment derives revenues from direct and assumed premiums written and premiums are earned pro rata over the terms of the policies, or remaining term of the policy for policies assumed post their origination date. Revenue is earned from policies from homeowners, which are annual policies. The accounting policies of the insurance segment are the same as those described in the summary of significant accounting policies. The chief operating decision maker (“CODM”) assesses performance for the insurance segment and decides how to allocate resources based on net income that also is reported on the income statement as consolidated net income and EBITDA. The measure of segment assets is reported on the balance sheet as total consolidated assets. The CODM uses net income and EBITDA to evaluate income generated from segment assets (return on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Slide Insurance Holdings, Inc.</w:t>
      </w:r>
    </w:p>
    <w:p>
      <w:pPr>
        <w:pStyle w:val="TextBody"/>
        <w:bidi w:val="0"/>
        <w:jc w:val="center"/>
        <w:rPr>
          <w:rFonts w:ascii="Times New Roman" w:hAnsi="Times New Roman"/>
          <w:b/>
          <w:color w:val="000000"/>
          <w:sz w:val="20"/>
        </w:rPr>
      </w:pPr>
      <w:r>
        <w:rPr>
          <w:rFonts w:ascii="Times New Roman" w:hAnsi="Times New Roman"/>
          <w:b/>
          <w:color w:val="000000"/>
          <w:sz w:val="20"/>
        </w:rPr>
        <w:t>Notes to Unaudited Condensed Consolidated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(Dollar amounts in thousands, except share and per share amounts, unless otherwise stated)</w:t>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assets) in deciding whether to reinvest profits into the insurance segment or into other parts of the entity, such as for acquisitions. The significant expenses reviewed by the CODM, which are used to assess performance of the company, are not disaggregated at a level lower than the captions disclosed within the Consolidated Statement of Operations. Net income is used to monitor budget versus actual results. The CODM also uses net income and EBITDA in competitive analysis by benchmarking to the Company’s competitors. The competitive analysis along with the monitoring of budgeted versus actual results are used in assessing performance of the segment and in establishing management’s compensation. The Company has one reportable segment: insurance. The insurance segment provides residential homeowners insurance. The Company derives all revenue in the United States of America and manages the business activities on a consolidated basis. The Company’s CODM is the Chief Executive Officer. </w:t>
      </w:r>
    </w:p>
    <w:p>
      <w:pPr>
        <w:pStyle w:val="TextBody"/>
        <w:bidi w:val="0"/>
        <w:spacing w:before="360" w:after="283"/>
        <w:jc w:val="left"/>
        <w:rPr>
          <w:rFonts w:ascii="Times New Roman" w:hAnsi="Times New Roman"/>
          <w:sz w:val="20"/>
        </w:rPr>
      </w:pPr>
      <w:r>
        <w:rPr>
          <w:rFonts w:ascii="Times New Roman" w:hAnsi="Times New Roman"/>
          <w:b/>
          <w:i/>
          <w:color w:val="000000"/>
          <w:sz w:val="20"/>
        </w:rPr>
        <w:t>Accounting Pronouncements Not Yet Adopted</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0"/>
        </w:rPr>
        <w:t>In November 2024, the Financial Accounting Standards Board ("FASB") issued ASU 2024-03, “</w:t>
      </w:r>
      <w:r>
        <w:rPr>
          <w:rFonts w:ascii="Times New Roman" w:hAnsi="Times New Roman"/>
          <w:i/>
          <w:color w:val="000000"/>
          <w:sz w:val="20"/>
        </w:rPr>
        <w:t xml:space="preserve">Income Statement (Topic 220): Reporting Comprehensive Income - Expense Disaggregation Disclosures, Disaggregation of Income Statement Expenses,” </w:t>
      </w:r>
      <w:r>
        <w:rPr>
          <w:rFonts w:ascii="Times New Roman" w:hAnsi="Times New Roman"/>
          <w:color w:val="000000"/>
          <w:sz w:val="20"/>
        </w:rPr>
        <w:t>which requires additional information about certain expenses in the financial statements. The amendments in this ASU will be effective for annual periods beginning after December 15, 2026. Early adoption is permitted and is effective on either a prospective basis or retrospective basis. The Company is currently evaluating the ASU to determine its impact on the Company's disclosures.</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In September 2025, the FASB issued Accounting Standards Update ("ASU") 2025-06, </w:t>
      </w:r>
      <w:r>
        <w:rPr>
          <w:rFonts w:ascii="Times New Roman" w:hAnsi="Times New Roman"/>
          <w:i/>
          <w:color w:val="000000"/>
          <w:sz w:val="20"/>
        </w:rPr>
        <w:t xml:space="preserve">Intangibles </w:t>
      </w:r>
      <w:r>
        <w:rPr>
          <w:rFonts w:ascii="Times New Roman" w:hAnsi="Times New Roman"/>
          <w:color w:val="000000"/>
          <w:sz w:val="20"/>
        </w:rPr>
        <w:t xml:space="preserve">– </w:t>
      </w:r>
      <w:r>
        <w:rPr>
          <w:rFonts w:ascii="Times New Roman" w:hAnsi="Times New Roman"/>
          <w:i/>
          <w:color w:val="000000"/>
          <w:sz w:val="20"/>
        </w:rPr>
        <w:t xml:space="preserve">Goodwill and Other </w:t>
      </w:r>
      <w:r>
        <w:rPr>
          <w:rFonts w:ascii="Times New Roman" w:hAnsi="Times New Roman"/>
          <w:color w:val="000000"/>
          <w:sz w:val="20"/>
        </w:rPr>
        <w:t xml:space="preserve">– </w:t>
      </w:r>
      <w:r>
        <w:rPr>
          <w:rFonts w:ascii="Times New Roman" w:hAnsi="Times New Roman"/>
          <w:i/>
          <w:color w:val="000000"/>
          <w:sz w:val="20"/>
        </w:rPr>
        <w:t>Internal-Use Software (Subtopic 350-40): Targeted Improvements to the Accounting for Internal-Use Software.</w:t>
      </w:r>
      <w:r>
        <w:rPr>
          <w:rFonts w:ascii="Times New Roman" w:hAnsi="Times New Roman"/>
          <w:color w:val="000000"/>
          <w:sz w:val="20"/>
        </w:rPr>
        <w:t xml:space="preserve"> The update modifies the accounting for internal-use software development costs by eliminating the stage-based model and establishing new capitalization criteria that apply once a project is authorized, funded, and it is probable the software will be completed and used as intended. The new guidance also introduces the concept of significant development uncertainty to help entities determine the appropriate timing of capitalization and integrates prior website development guidance into Accounting Standards Codification (“ASC”) 350-40. The update is effective for annual periods beginning after December 15, 2026, with early adoption permitted. The Company is currently assessing the impact of adopting this guidance and does not expect the adoption to have a material effect on its financial position or results of operations.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In December 2025, the FASB issued ASU 2025-11, </w:t>
      </w:r>
      <w:r>
        <w:rPr>
          <w:rFonts w:ascii="Times New Roman" w:hAnsi="Times New Roman"/>
          <w:i/>
          <w:color w:val="000000"/>
          <w:sz w:val="20"/>
        </w:rPr>
        <w:t>"Interim Reporting (Topic 270): Narrow-Scope Improvements"</w:t>
      </w:r>
      <w:r>
        <w:rPr>
          <w:rFonts w:ascii="Times New Roman" w:hAnsi="Times New Roman"/>
          <w:color w:val="000000"/>
          <w:sz w:val="20"/>
        </w:rPr>
        <w:t>, which clarifies the guidance in Topic 270 to improve the consistency of interim financial reporting. The ASU provides a comprehensive list of required interim disclosures and introduces a disclosure principle requiring entities to disclose events since the end of the last annual reporting period that have a material impact on the entity. ASU 2025-11 is effective for fiscal years beginning after December 15, 2027, including interim periods within those fiscal years, with early adoption permitted. The Company is currently evaluating the impact of adopting ASU 2025-11.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does not believe any of these accounting pronouncements have or will have a material impact on its condensed consolidated financial statements. </w:t>
      </w:r>
    </w:p>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Slide Insurance Holdings, Inc.</w:t>
      </w:r>
    </w:p>
    <w:p>
      <w:pPr>
        <w:pStyle w:val="TextBody"/>
        <w:bidi w:val="0"/>
        <w:jc w:val="center"/>
        <w:rPr>
          <w:rFonts w:ascii="Times New Roman" w:hAnsi="Times New Roman"/>
          <w:b/>
          <w:color w:val="000000"/>
          <w:sz w:val="20"/>
        </w:rPr>
      </w:pPr>
      <w:r>
        <w:rPr>
          <w:rFonts w:ascii="Times New Roman" w:hAnsi="Times New Roman"/>
          <w:b/>
          <w:color w:val="000000"/>
          <w:sz w:val="20"/>
        </w:rPr>
        <w:t>Notes to Unaudited Condensed Consolidated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(Dollar amounts in thousands, except share and per share amounts, unless otherwise stated)</w:t>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2.</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Basic and Diluted Earnings Per Share (shares reported in thousands)</w:t>
      </w:r>
    </w:p>
    <w:p>
      <w:pPr>
        <w:pStyle w:val="TextBody"/>
        <w:bidi w:val="0"/>
        <w:jc w:val="left"/>
        <w:rPr/>
      </w:pPr>
      <w:r>
        <w:rPr/>
        <w:t> </w:t>
      </w:r>
    </w:p>
    <w:tbl>
      <w:tblPr>
        <w:tblW w:w="7884" w:type="dxa"/>
        <w:jc w:val="left"/>
        <w:tblInd w:w="0" w:type="dxa"/>
        <w:tblLayout w:type="fixed"/>
        <w:tblCellMar>
          <w:top w:w="28" w:type="dxa"/>
          <w:left w:w="28" w:type="dxa"/>
          <w:bottom w:w="28" w:type="dxa"/>
          <w:right w:w="28" w:type="dxa"/>
        </w:tblCellMar>
      </w:tblPr>
      <w:tblGrid>
        <w:gridCol w:w="4871"/>
        <w:gridCol w:w="146"/>
        <w:gridCol w:w="211"/>
        <w:gridCol w:w="781"/>
        <w:gridCol w:w="146"/>
        <w:gridCol w:w="146"/>
        <w:gridCol w:w="211"/>
        <w:gridCol w:w="781"/>
        <w:gridCol w:w="591"/>
      </w:tblGrid>
      <w:tr>
        <w:trPr/>
        <w:tc>
          <w:tcPr>
            <w:tcW w:w="48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48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March 31,</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Basic earnings per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8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income attributable to common stockholders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139,527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92,503</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8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Weighted average shares outstanding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123,342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56,600</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8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Basic earnings per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8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Diluted earnings per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8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income attributable to common stockholders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139,527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92,503</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8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Weighted average shares outstanding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123,342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56,600</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8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Add effect of dilutive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87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Impact of convertible preferred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51,374</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87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Impact of vested and unvested common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12,053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13,024</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87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Impact of RSU awards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2,125</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Diluted weighted average common shares outstanding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136,588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123,123</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8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Diluted earnings per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0.75</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Company does not have any anti-dilutive shares for the three months ended March 31, 2026 and 2025, respectively.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3.</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 xml:space="preserve">Fixed-Maturity Securities Available-For-Sale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amortized cost, gross unrealized gains and losses, and estimated fair value of investments in fixed-maturity securities available-for-sale at March 31, 2026 and December 31, 2025, are as follows: </w:t>
      </w:r>
    </w:p>
    <w:p>
      <w:pPr>
        <w:pStyle w:val="TextBody"/>
        <w:bidi w:val="0"/>
        <w:jc w:val="left"/>
        <w:rPr/>
      </w:pPr>
      <w:r>
        <w:rPr/>
        <w:t> </w:t>
      </w:r>
    </w:p>
    <w:tbl>
      <w:tblPr>
        <w:tblW w:w="9010" w:type="dxa"/>
        <w:jc w:val="left"/>
        <w:tblInd w:w="0" w:type="dxa"/>
        <w:tblLayout w:type="fixed"/>
        <w:tblCellMar>
          <w:top w:w="28" w:type="dxa"/>
          <w:left w:w="28" w:type="dxa"/>
          <w:bottom w:w="28" w:type="dxa"/>
          <w:right w:w="28" w:type="dxa"/>
        </w:tblCellMar>
      </w:tblPr>
      <w:tblGrid>
        <w:gridCol w:w="4021"/>
        <w:gridCol w:w="146"/>
        <w:gridCol w:w="211"/>
        <w:gridCol w:w="781"/>
        <w:gridCol w:w="146"/>
        <w:gridCol w:w="146"/>
        <w:gridCol w:w="239"/>
        <w:gridCol w:w="647"/>
        <w:gridCol w:w="146"/>
        <w:gridCol w:w="146"/>
        <w:gridCol w:w="222"/>
        <w:gridCol w:w="664"/>
        <w:gridCol w:w="166"/>
        <w:gridCol w:w="146"/>
        <w:gridCol w:w="211"/>
        <w:gridCol w:w="781"/>
        <w:gridCol w:w="191"/>
      </w:tblGrid>
      <w:tr>
        <w:trPr/>
        <w:tc>
          <w:tcPr>
            <w:tcW w:w="40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0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52"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w:t>
              <w:b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w:t>
              <w:br/>
              <w:t>Unrealized</w:t>
              <w:br/>
              <w:t>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w:t>
              <w:br/>
              <w:t>Unrealized</w:t>
              <w:br/>
              <w:t>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Estimated</w:t>
              <w:br/>
              <w:t>Fair 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government and agencies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172,630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173,408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States, municipalities and political subdivisions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223,641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225,182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Corporate Bonds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241,109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241,151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Asset-Backed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76,772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76,296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02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714,152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5,756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(3,871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716,037</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9010" w:type="dxa"/>
        <w:jc w:val="left"/>
        <w:tblInd w:w="0" w:type="dxa"/>
        <w:tblLayout w:type="fixed"/>
        <w:tblCellMar>
          <w:top w:w="28" w:type="dxa"/>
          <w:left w:w="28" w:type="dxa"/>
          <w:bottom w:w="28" w:type="dxa"/>
          <w:right w:w="28" w:type="dxa"/>
        </w:tblCellMar>
      </w:tblPr>
      <w:tblGrid>
        <w:gridCol w:w="4021"/>
        <w:gridCol w:w="146"/>
        <w:gridCol w:w="211"/>
        <w:gridCol w:w="781"/>
        <w:gridCol w:w="146"/>
        <w:gridCol w:w="146"/>
        <w:gridCol w:w="239"/>
        <w:gridCol w:w="647"/>
        <w:gridCol w:w="146"/>
        <w:gridCol w:w="146"/>
        <w:gridCol w:w="270"/>
        <w:gridCol w:w="616"/>
        <w:gridCol w:w="166"/>
        <w:gridCol w:w="146"/>
        <w:gridCol w:w="211"/>
        <w:gridCol w:w="781"/>
        <w:gridCol w:w="191"/>
      </w:tblGrid>
      <w:tr>
        <w:trPr/>
        <w:tc>
          <w:tcPr>
            <w:tcW w:w="40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0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52"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w:t>
              <w:b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w:t>
              <w:br/>
              <w:t>Unrealized</w:t>
              <w:br/>
              <w:t>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w:t>
              <w:br/>
              <w:t>Unrealized</w:t>
              <w:br/>
              <w:t>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Estimated</w:t>
              <w:br/>
              <w:t>Fair 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government and agencies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155,600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157,575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States, municipalities and political subdivisions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203,485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3,948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207,274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Corporate Bonds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171,501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3,689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175,007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Asset-Backed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49,536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49,864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02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580,122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9,981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(383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589,720</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Slide Insurance Holdings, Inc.</w:t>
      </w:r>
    </w:p>
    <w:p>
      <w:pPr>
        <w:pStyle w:val="TextBody"/>
        <w:bidi w:val="0"/>
        <w:jc w:val="center"/>
        <w:rPr>
          <w:rFonts w:ascii="Times New Roman" w:hAnsi="Times New Roman"/>
          <w:b/>
          <w:color w:val="000000"/>
          <w:sz w:val="20"/>
        </w:rPr>
      </w:pPr>
      <w:r>
        <w:rPr>
          <w:rFonts w:ascii="Times New Roman" w:hAnsi="Times New Roman"/>
          <w:b/>
          <w:color w:val="000000"/>
          <w:sz w:val="20"/>
        </w:rPr>
        <w:t>Notes to Unaudited Condensed Consolidated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(Dollar amounts in thousands, except share and per share amounts, unless otherwise stated)</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amortized cost and estimated fair value of investments in fixed-maturity securities at March 31, 2026 and December 31, 2025, by contractual maturity, are shown below. </w:t>
      </w:r>
    </w:p>
    <w:p>
      <w:pPr>
        <w:pStyle w:val="TextBody"/>
        <w:bidi w:val="0"/>
        <w:jc w:val="left"/>
        <w:rPr/>
      </w:pPr>
      <w:r>
        <w:rPr/>
        <w:t> </w:t>
      </w:r>
    </w:p>
    <w:tbl>
      <w:tblPr>
        <w:tblW w:w="7957" w:type="dxa"/>
        <w:jc w:val="left"/>
        <w:tblInd w:w="0" w:type="dxa"/>
        <w:tblLayout w:type="fixed"/>
        <w:tblCellMar>
          <w:top w:w="28" w:type="dxa"/>
          <w:left w:w="28" w:type="dxa"/>
          <w:bottom w:w="28" w:type="dxa"/>
          <w:right w:w="28" w:type="dxa"/>
        </w:tblCellMar>
      </w:tblPr>
      <w:tblGrid>
        <w:gridCol w:w="2776"/>
        <w:gridCol w:w="146"/>
        <w:gridCol w:w="211"/>
        <w:gridCol w:w="781"/>
        <w:gridCol w:w="146"/>
        <w:gridCol w:w="146"/>
        <w:gridCol w:w="211"/>
        <w:gridCol w:w="781"/>
        <w:gridCol w:w="146"/>
        <w:gridCol w:w="146"/>
        <w:gridCol w:w="211"/>
        <w:gridCol w:w="781"/>
        <w:gridCol w:w="146"/>
        <w:gridCol w:w="146"/>
        <w:gridCol w:w="211"/>
        <w:gridCol w:w="781"/>
        <w:gridCol w:w="191"/>
      </w:tblGrid>
      <w:tr>
        <w:trPr/>
        <w:tc>
          <w:tcPr>
            <w:tcW w:w="27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7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w:t>
              <w:b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Estimated</w:t>
              <w:b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w:t>
              <w:b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Estimated</w:t>
              <w:br/>
              <w:t>Fair 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 one year or less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49,006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49,166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48,155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48,353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After one year through five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324,938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328,561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303,205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309,550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After five years through 10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239,871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238,817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165,622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168,346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After 10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100,337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99,493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63,140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63,471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77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714,152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716,037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580,122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589,720</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Actual maturities may differ from contractual maturities, as the issuers of the securities may have the right to call or prepay obligations with or without penalty.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following tables show the estimated fair value and gross unrealized losses of the Company's investments, aggregated by investment category and length of time that individual securities have been in a continuous unrealized loss position at March 31, 2026.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845"/>
        <w:gridCol w:w="146"/>
        <w:gridCol w:w="211"/>
        <w:gridCol w:w="781"/>
        <w:gridCol w:w="146"/>
        <w:gridCol w:w="146"/>
        <w:gridCol w:w="222"/>
        <w:gridCol w:w="664"/>
        <w:gridCol w:w="166"/>
        <w:gridCol w:w="146"/>
        <w:gridCol w:w="231"/>
        <w:gridCol w:w="628"/>
        <w:gridCol w:w="146"/>
        <w:gridCol w:w="146"/>
        <w:gridCol w:w="318"/>
        <w:gridCol w:w="568"/>
        <w:gridCol w:w="166"/>
        <w:gridCol w:w="146"/>
        <w:gridCol w:w="211"/>
        <w:gridCol w:w="781"/>
        <w:gridCol w:w="146"/>
        <w:gridCol w:w="146"/>
        <w:gridCol w:w="222"/>
        <w:gridCol w:w="664"/>
        <w:gridCol w:w="213"/>
      </w:tblGrid>
      <w:tr>
        <w:trPr/>
        <w:tc>
          <w:tcPr>
            <w:tcW w:w="28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28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01" w:type="dxa"/>
            <w:gridSpan w:val="2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2026</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Less than 12 months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More than 12 months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Estimated</w:t>
              <w:b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w:t>
              <w:br/>
              <w:t>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Estimated</w:t>
              <w:b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w:t>
              <w:br/>
              <w:t>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Estimated</w:t>
              <w:b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w:t>
              <w:br/>
              <w:t>Losses</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government and agencies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42,309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43,544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8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States, municipalities and political subdivisions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63,701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66,183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(890</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8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Corporate Bonds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126,179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126,925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(2,127</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8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Asset-Backed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62,303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62,303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(557</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84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294,492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(3,797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4,463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5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298,955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(3,871</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A total of 139 securities had unrealized losses at March 31, 2026. The Company’s unrealized losses relate to its portfolio of fixed-maturity securities. The Company’s unrealized losses on its fixed maturity securities were caused by interest rate changes. The Company regularly reviews its individual investment securities for credit impairment. The Company considers various factors in determining whether a credit loss exists for each individual security,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financial condition and near-term prospects of the issuer, including any specific events that may affect its operations or earnings;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extent to which the market value of the security has been below its cost or amortized cost;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general market conditions and industry or sector specific factors and other qualitative factors;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nonpayment by the issuer of its contractually obligated interest and principal payments;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Company’s intent and ability to hold the investment for a period of time sufficient to allow for the recovery of costs.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For the three months ended March 31, 2026, the Company did not recognize a credit loss expense related to fixed-maturity securities in the consolidated statements of income.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Slide Insurance Holdings, Inc.</w:t>
      </w:r>
    </w:p>
    <w:p>
      <w:pPr>
        <w:pStyle w:val="TextBody"/>
        <w:bidi w:val="0"/>
        <w:jc w:val="center"/>
        <w:rPr>
          <w:rFonts w:ascii="Times New Roman" w:hAnsi="Times New Roman"/>
          <w:b/>
          <w:color w:val="000000"/>
          <w:sz w:val="20"/>
        </w:rPr>
      </w:pPr>
      <w:r>
        <w:rPr>
          <w:rFonts w:ascii="Times New Roman" w:hAnsi="Times New Roman"/>
          <w:b/>
          <w:color w:val="000000"/>
          <w:sz w:val="20"/>
        </w:rPr>
        <w:t>Notes to Unaudited Condensed Consolidated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(Dollar amounts in thousands, except share and per share amounts, unless otherwise stated)</w:t>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following tables show the estimated fair value and gross unrealized losses of the Company's investments, aggregated by investment category and length of time that individual securities have been in a continuous unrealized loss position at December 31, 2025.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051"/>
        <w:gridCol w:w="146"/>
        <w:gridCol w:w="211"/>
        <w:gridCol w:w="676"/>
        <w:gridCol w:w="146"/>
        <w:gridCol w:w="146"/>
        <w:gridCol w:w="270"/>
        <w:gridCol w:w="616"/>
        <w:gridCol w:w="166"/>
        <w:gridCol w:w="146"/>
        <w:gridCol w:w="232"/>
        <w:gridCol w:w="632"/>
        <w:gridCol w:w="146"/>
        <w:gridCol w:w="146"/>
        <w:gridCol w:w="318"/>
        <w:gridCol w:w="568"/>
        <w:gridCol w:w="166"/>
        <w:gridCol w:w="146"/>
        <w:gridCol w:w="211"/>
        <w:gridCol w:w="676"/>
        <w:gridCol w:w="146"/>
        <w:gridCol w:w="146"/>
        <w:gridCol w:w="270"/>
        <w:gridCol w:w="616"/>
        <w:gridCol w:w="212"/>
      </w:tblGrid>
      <w:tr>
        <w:trPr/>
        <w:tc>
          <w:tcPr>
            <w:tcW w:w="30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r>
      <w:tr>
        <w:trPr/>
        <w:tc>
          <w:tcPr>
            <w:tcW w:w="30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96" w:type="dxa"/>
            <w:gridSpan w:val="2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Less than 12 months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More than 12 months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Estimated</w:t>
              <w:b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w:t>
              <w:br/>
              <w:t>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Estimated</w:t>
              <w:b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w:t>
              <w:br/>
              <w:t>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Estimated</w:t>
              <w:b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w:t>
              <w:br/>
              <w:t>Losses</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government and agencies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States, municipalities and political subdivisions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29,056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Corporate Bonds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38,937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40,178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Asset-Backed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5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83,626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(346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5,492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5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89,118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(383</w:t>
            </w:r>
          </w:p>
        </w:tc>
        <w:tc>
          <w:tcPr>
            <w:tcW w:w="2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A total of 61 securities had unrealized losses at December 31, 2025. The Company’s unrealized losses relate to its portfolio of fixed-maturity securities. The Company’s unrealized losses on its fixed-maturity securities were caused by interest rate changes. The Company regularly reviews its individual investment securities for credit impairment. The Company considers various factors in determining whether a credit loss exists for each individual security,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financial condition and near-term prospects of the issuer, including any specific events that may affect its operations or earnings;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extent to which the market value of the security has been below its cost or amortized cost;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general market conditions and industry or sector specific factors and other qualitative factors;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nonpayment by the issuer of its contractually obligated interest and principal payments;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Company’s intent and ability to hold the investment for a period of time sufficient to allow for the recovery of costs.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For the year ended December 31, 2025, the Company did not recognize a credit loss expense related to fixed-maturity securities in the consolidated statements of income.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Proceeds from maturities, and redemptions of fixed-maturities securities were $17,723 and $20,035 for the three months ended March 31, 2026 and 2025, respectively, with realized gross gains of $0 and $4 on these sales, maturities, and redemptions respectively.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At March 31, 2026 and December 31, 2025, the Company had restricted cash of $485,359 and $481,758, respectively, consisting of funds on deposit with regulatory authorities, as required by law and funds held in trust by the VIE where the Company is the primary beneficiary.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Major categories of net investment income, excluding realized gains, are summarized as follows: </w:t>
      </w:r>
    </w:p>
    <w:p>
      <w:pPr>
        <w:pStyle w:val="TextBody"/>
        <w:bidi w:val="0"/>
        <w:jc w:val="left"/>
        <w:rPr/>
      </w:pPr>
      <w:r>
        <w:rPr/>
        <w:t> </w:t>
      </w:r>
    </w:p>
    <w:tbl>
      <w:tblPr>
        <w:tblW w:w="6604" w:type="dxa"/>
        <w:jc w:val="left"/>
        <w:tblInd w:w="0" w:type="dxa"/>
        <w:tblLayout w:type="fixed"/>
        <w:tblCellMar>
          <w:top w:w="28" w:type="dxa"/>
          <w:left w:w="28" w:type="dxa"/>
          <w:bottom w:w="28" w:type="dxa"/>
          <w:right w:w="28" w:type="dxa"/>
        </w:tblCellMar>
      </w:tblPr>
      <w:tblGrid>
        <w:gridCol w:w="3801"/>
        <w:gridCol w:w="146"/>
        <w:gridCol w:w="211"/>
        <w:gridCol w:w="676"/>
        <w:gridCol w:w="146"/>
        <w:gridCol w:w="146"/>
        <w:gridCol w:w="211"/>
        <w:gridCol w:w="676"/>
        <w:gridCol w:w="591"/>
      </w:tblGrid>
      <w:tr>
        <w:trPr/>
        <w:tc>
          <w:tcPr>
            <w:tcW w:w="38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38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March 31,</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Available-for-sale fixed-maturity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5,503</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8,398</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80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20"/>
              </w:rPr>
            </w:pPr>
            <w:r>
              <w:rPr>
                <w:rFonts w:ascii="Times New Roman" w:hAnsi="Times New Roman"/>
                <w:b/>
                <w:color w:val="000000"/>
                <w:sz w:val="20"/>
              </w:rPr>
              <w:t>Total investment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20,443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14,021</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Investment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80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20"/>
              </w:rPr>
            </w:pPr>
            <w:r>
              <w:rPr>
                <w:rFonts w:ascii="Times New Roman" w:hAnsi="Times New Roman"/>
                <w:b/>
                <w:color w:val="000000"/>
                <w:sz w:val="20"/>
              </w:rPr>
              <w:t>Net investment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20,118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13,807</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Slide Insurance Holdings, Inc.</w:t>
      </w:r>
    </w:p>
    <w:p>
      <w:pPr>
        <w:pStyle w:val="TextBody"/>
        <w:bidi w:val="0"/>
        <w:jc w:val="center"/>
        <w:rPr>
          <w:rFonts w:ascii="Times New Roman" w:hAnsi="Times New Roman"/>
          <w:b/>
          <w:color w:val="000000"/>
          <w:sz w:val="20"/>
        </w:rPr>
      </w:pPr>
      <w:r>
        <w:rPr>
          <w:rFonts w:ascii="Times New Roman" w:hAnsi="Times New Roman"/>
          <w:b/>
          <w:color w:val="000000"/>
          <w:sz w:val="20"/>
        </w:rPr>
        <w:t>Notes to Unaudited Condensed Consolidated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(Dollar amounts in thousands, except share and per share amounts, unless otherwise stated)</w:t>
      </w:r>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4.</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 xml:space="preserve">Fair Value of Financial Assets and Liabilities </w:t>
      </w:r>
    </w:p>
    <w:p>
      <w:pPr>
        <w:pStyle w:val="TextBody"/>
        <w:bidi w:val="0"/>
        <w:spacing w:before="120" w:after="283"/>
        <w:jc w:val="left"/>
        <w:rPr>
          <w:rFonts w:ascii="Times New Roman" w:hAnsi="Times New Roman"/>
          <w:sz w:val="20"/>
        </w:rPr>
      </w:pPr>
      <w:r>
        <w:rPr>
          <w:rFonts w:ascii="Times New Roman" w:hAnsi="Times New Roman"/>
          <w:b/>
          <w:i/>
          <w:color w:val="000000"/>
          <w:sz w:val="20"/>
        </w:rPr>
        <w:t>Valuation Hierarchy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FASB established a valuation hierarchy for disclosure of the inputs used to measure estimated fair value. This hierarchy categorizes the inputs into three broad levels as follows: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Level 1 inputs to the valuation methodology are unadjusted quoted prices in active markets for identical assets or liabilities.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Level 2 inputs to the valuation methodology are quoted prices for similar assets or liabilities in active markets or inputs that are observable for the asset or liability, either directly or indirectly through market corroboration, for substantially the full term of the financial instrument.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Level 3 inputs are unobservable inputs that are supported by little or no market activity and are significant to the determination of estimated fair value of the assets or liabilities. Unobservable inputs reflect the entity’s assumptions about the assumptions that market participants would use in pricing the asset or liability.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following table presents by level the financial assets carried at estimated fair value measured on a recurring basis as of March 31, 2026 and December 31, 2025. The table does not include assets which are measured at historical cost or any basis other than estimated fair value.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454"/>
        <w:gridCol w:w="146"/>
        <w:gridCol w:w="211"/>
        <w:gridCol w:w="931"/>
        <w:gridCol w:w="146"/>
        <w:gridCol w:w="146"/>
        <w:gridCol w:w="211"/>
        <w:gridCol w:w="931"/>
        <w:gridCol w:w="146"/>
        <w:gridCol w:w="146"/>
        <w:gridCol w:w="211"/>
        <w:gridCol w:w="781"/>
        <w:gridCol w:w="146"/>
        <w:gridCol w:w="146"/>
        <w:gridCol w:w="237"/>
        <w:gridCol w:w="389"/>
        <w:gridCol w:w="146"/>
        <w:gridCol w:w="146"/>
        <w:gridCol w:w="211"/>
        <w:gridCol w:w="931"/>
        <w:gridCol w:w="393"/>
      </w:tblGrid>
      <w:tr>
        <w:trPr/>
        <w:tc>
          <w:tcPr>
            <w:tcW w:w="345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r>
      <w:tr>
        <w:trPr/>
        <w:tc>
          <w:tcPr>
            <w:tcW w:w="34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12" w:type="dxa"/>
            <w:gridSpan w:val="1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2026</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Carrying</w:t>
              <w:br/>
              <w:t>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Estimated</w:t>
              <w:br/>
              <w:t>Fair Value</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45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1,217,558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1,217,558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8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1,217,558</w:t>
            </w:r>
          </w:p>
        </w:tc>
        <w:tc>
          <w:tcPr>
            <w:tcW w:w="3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5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793</w:t>
            </w:r>
          </w:p>
        </w:tc>
        <w:tc>
          <w:tcPr>
            <w:tcW w:w="3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5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Restricted cash - variable interest entity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482,050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482,050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482,050</w:t>
            </w:r>
          </w:p>
        </w:tc>
        <w:tc>
          <w:tcPr>
            <w:tcW w:w="3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5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Fixed-maturity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714,152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394,742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321,295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716,037</w:t>
            </w:r>
          </w:p>
        </w:tc>
        <w:tc>
          <w:tcPr>
            <w:tcW w:w="3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4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2,414,553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2,095,143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321,295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38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2,416,438</w:t>
            </w:r>
          </w:p>
        </w:tc>
        <w:tc>
          <w:tcPr>
            <w:tcW w:w="3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45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rate swap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8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3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454"/>
        <w:gridCol w:w="146"/>
        <w:gridCol w:w="211"/>
        <w:gridCol w:w="931"/>
        <w:gridCol w:w="146"/>
        <w:gridCol w:w="146"/>
        <w:gridCol w:w="211"/>
        <w:gridCol w:w="931"/>
        <w:gridCol w:w="146"/>
        <w:gridCol w:w="146"/>
        <w:gridCol w:w="211"/>
        <w:gridCol w:w="781"/>
        <w:gridCol w:w="146"/>
        <w:gridCol w:w="146"/>
        <w:gridCol w:w="237"/>
        <w:gridCol w:w="389"/>
        <w:gridCol w:w="146"/>
        <w:gridCol w:w="146"/>
        <w:gridCol w:w="211"/>
        <w:gridCol w:w="931"/>
        <w:gridCol w:w="393"/>
      </w:tblGrid>
      <w:tr>
        <w:trPr/>
        <w:tc>
          <w:tcPr>
            <w:tcW w:w="345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r>
      <w:tr>
        <w:trPr/>
        <w:tc>
          <w:tcPr>
            <w:tcW w:w="34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12" w:type="dxa"/>
            <w:gridSpan w:val="1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Carrying</w:t>
              <w:br/>
              <w:t>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Estimated</w:t>
              <w:br/>
              <w:t>Fair Value</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45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1,201,210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1,201,210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8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1,201,210</w:t>
            </w:r>
          </w:p>
        </w:tc>
        <w:tc>
          <w:tcPr>
            <w:tcW w:w="3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5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786</w:t>
            </w:r>
          </w:p>
        </w:tc>
        <w:tc>
          <w:tcPr>
            <w:tcW w:w="3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5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Restricted cash - variable interest entity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480,972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480,972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480,972</w:t>
            </w:r>
          </w:p>
        </w:tc>
        <w:tc>
          <w:tcPr>
            <w:tcW w:w="3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5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Fixed-maturity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580,122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317,620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272,100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589,720</w:t>
            </w:r>
          </w:p>
        </w:tc>
        <w:tc>
          <w:tcPr>
            <w:tcW w:w="3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4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2,263,090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2,000,588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272,100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38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2,272,688</w:t>
            </w:r>
          </w:p>
        </w:tc>
        <w:tc>
          <w:tcPr>
            <w:tcW w:w="3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45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rate swap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8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w:t>
            </w:r>
          </w:p>
        </w:tc>
        <w:tc>
          <w:tcPr>
            <w:tcW w:w="3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A financial instrument’s classification within the valuation hierarchy is based upon the lowest level of input that is significant to the estimated fair value measurement; consequently, if there are multiple significant valuation inputs that are categorized in different levels of the hierarchy, the instrument’s hierarchy level is the lowest level within which any significant input falls.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Level 1 category includes cash and cash equivalents, restricted cash, money market securities, certificates of deposit, U.S. treasury bonds, and corporate bonds.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Level 2 category generally includes municipal bonds and asset-backed securities. The estimated fair value of fixed-maturity investments included in the Level 2 category was based on the market values obtained from pricing services.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Slide Insurance Holdings, Inc.</w:t>
      </w:r>
    </w:p>
    <w:p>
      <w:pPr>
        <w:pStyle w:val="TextBody"/>
        <w:bidi w:val="0"/>
        <w:jc w:val="center"/>
        <w:rPr>
          <w:rFonts w:ascii="Times New Roman" w:hAnsi="Times New Roman"/>
          <w:b/>
          <w:color w:val="000000"/>
          <w:sz w:val="20"/>
        </w:rPr>
      </w:pPr>
      <w:r>
        <w:rPr>
          <w:rFonts w:ascii="Times New Roman" w:hAnsi="Times New Roman"/>
          <w:b/>
          <w:color w:val="000000"/>
          <w:sz w:val="20"/>
        </w:rPr>
        <w:t>Notes to Unaudited Condensed Consolidated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(Dollar amounts in thousands, except share and per share amounts, unless otherwise stated)</w:t>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When observable inputs are not available, the market standard valuation methodologies for determining the estimated fair value of certain types of securities that trade infrequently, and therefore have little or no price transparency, rely on inputs that are significant to the estimated fair value that are not observable in the market, or which cannot be derived principally from or corroborated by observable market data. These unobservable inputs can be based in large part on management’s judgment or estimation and cannot be supported by reference or market activity. Generally, these investments are classified as Level 3. </w:t>
      </w:r>
    </w:p>
    <w:p>
      <w:pPr>
        <w:pStyle w:val="TextBody"/>
        <w:bidi w:val="0"/>
        <w:spacing w:before="360" w:after="283"/>
        <w:jc w:val="left"/>
        <w:rPr>
          <w:rFonts w:ascii="Times New Roman" w:hAnsi="Times New Roman"/>
          <w:sz w:val="20"/>
        </w:rPr>
      </w:pPr>
      <w:r>
        <w:rPr>
          <w:rFonts w:ascii="Times New Roman" w:hAnsi="Times New Roman"/>
          <w:b/>
          <w:i/>
          <w:color w:val="000000"/>
          <w:sz w:val="20"/>
        </w:rPr>
        <w:t>Other Financial Instruments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uses various financial instruments in the normal course of its business. In the measurement of the estimated fair value of certain financial instruments, other valuation techniques were utilized if quoted market prices were not available. These derived fair value estimates are significantly affected by the assumptions used. Additionally, excluded from the scope of financial instruments are certain financial instruments, including those related to insurance contracts, pension and other postretirement benefits, and equity method investments.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estimating the fair value of the financial instruments presented, the Company used the following methods and assumptions: </w:t>
      </w:r>
    </w:p>
    <w:p>
      <w:pPr>
        <w:pStyle w:val="TextBody"/>
        <w:bidi w:val="0"/>
        <w:spacing w:before="360" w:after="283"/>
        <w:jc w:val="left"/>
        <w:rPr>
          <w:rFonts w:ascii="Times New Roman" w:hAnsi="Times New Roman"/>
          <w:sz w:val="20"/>
        </w:rPr>
      </w:pPr>
      <w:r>
        <w:rPr>
          <w:rFonts w:ascii="Times New Roman" w:hAnsi="Times New Roman"/>
          <w:i/>
          <w:color w:val="000000"/>
          <w:sz w:val="20"/>
        </w:rPr>
        <w:t>Cash and Cash equivalents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carrying amount is a reasonable estimate of fair value, due to the short-term maturity of these investments. These assets are considered to be Level 1 assets. </w:t>
      </w:r>
    </w:p>
    <w:p>
      <w:pPr>
        <w:pStyle w:val="TextBody"/>
        <w:bidi w:val="0"/>
        <w:spacing w:before="360" w:after="283"/>
        <w:jc w:val="left"/>
        <w:rPr>
          <w:rFonts w:ascii="Times New Roman" w:hAnsi="Times New Roman"/>
          <w:sz w:val="20"/>
        </w:rPr>
      </w:pPr>
      <w:r>
        <w:rPr>
          <w:rFonts w:ascii="Times New Roman" w:hAnsi="Times New Roman"/>
          <w:i/>
          <w:color w:val="000000"/>
          <w:sz w:val="20"/>
        </w:rPr>
        <w:t>Restricted cash</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Restricted cash represents cash held by state authorities and the carrying value approximates fair value. Restricted cash also includes cash held in trust by the VIE where the Company is the primary beneficiary and the carrying value approximates fair value. These assets are considered to be Level 1 assets.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Fixed-Maturity Securities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Fixed-Maturity securities represent investments held at fair value in U.S. government and agencies, municipalities and political subdivisions, corporate bonds, states, and asset-backed securities. U.S. government and agencies bonds and corporate bonds are considered to be Level 1 assets due to readily available pricing. Municipalities and political subdivisions, corporate bonds, states, and asset-backed securities are considered to be Level 2 assets due to valuations based on observable inputs. </w:t>
      </w:r>
    </w:p>
    <w:p>
      <w:pPr>
        <w:pStyle w:val="TextBody"/>
        <w:bidi w:val="0"/>
        <w:spacing w:before="360" w:after="283"/>
        <w:jc w:val="left"/>
        <w:rPr>
          <w:rFonts w:ascii="Times New Roman" w:hAnsi="Times New Roman"/>
          <w:sz w:val="20"/>
        </w:rPr>
      </w:pPr>
      <w:r>
        <w:rPr>
          <w:rFonts w:ascii="Times New Roman" w:hAnsi="Times New Roman"/>
          <w:i/>
          <w:color w:val="000000"/>
          <w:sz w:val="20"/>
        </w:rPr>
        <w:t>Long-Term Debt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table summarizes components of the Company’s long-term debt and methods used in estimating their fair values: </w:t>
      </w:r>
    </w:p>
    <w:p>
      <w:pPr>
        <w:pStyle w:val="TextBody"/>
        <w:bidi w:val="0"/>
        <w:jc w:val="left"/>
        <w:rPr/>
      </w:pPr>
      <w:r>
        <w:rPr/>
        <w:t> </w:t>
      </w:r>
    </w:p>
    <w:tbl>
      <w:tblPr>
        <w:tblW w:w="9310" w:type="dxa"/>
        <w:jc w:val="left"/>
        <w:tblInd w:w="0" w:type="dxa"/>
        <w:tblLayout w:type="fixed"/>
        <w:tblCellMar>
          <w:top w:w="28" w:type="dxa"/>
          <w:left w:w="28" w:type="dxa"/>
          <w:bottom w:w="28" w:type="dxa"/>
          <w:right w:w="28" w:type="dxa"/>
        </w:tblCellMar>
      </w:tblPr>
      <w:tblGrid>
        <w:gridCol w:w="3766"/>
        <w:gridCol w:w="146"/>
        <w:gridCol w:w="1201"/>
        <w:gridCol w:w="146"/>
        <w:gridCol w:w="4051"/>
      </w:tblGrid>
      <w:tr>
        <w:trPr/>
        <w:tc>
          <w:tcPr>
            <w:tcW w:w="3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51" w:type="dxa"/>
            <w:tcBorders/>
            <w:vAlign w:val="center"/>
          </w:tcPr>
          <w:p>
            <w:pPr>
              <w:pStyle w:val="TableContents"/>
              <w:bidi w:val="0"/>
              <w:spacing w:before="0" w:after="283"/>
              <w:jc w:val="left"/>
              <w:rPr>
                <w:sz w:val="4"/>
                <w:szCs w:val="4"/>
              </w:rPr>
            </w:pPr>
            <w:r>
              <w:rPr>
                <w:sz w:val="4"/>
                <w:szCs w:val="4"/>
              </w:rPr>
            </w:r>
          </w:p>
        </w:tc>
      </w:tr>
      <w:tr>
        <w:trPr/>
        <w:tc>
          <w:tcPr>
            <w:tcW w:w="37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Maturity Date</w:t>
            </w:r>
            <w:r>
              <w:rPr>
                <w:rFonts w:ascii="Times New Roman" w:hAnsi="Times New Roman"/>
                <w:color w:val="000000"/>
                <w:sz w:val="16"/>
              </w:rPr>
              <w:t xml:space="preserve">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4051" w:type="dxa"/>
            <w:tcBorders>
              <w:bottom w:val="single" w:sz="4" w:space="0" w:color="000000"/>
            </w:tcBorders>
            <w:tcMar>
              <w:top w:w="0" w:type="dxa"/>
              <w:left w:w="0" w:type="dxa"/>
              <w:right w:w="0" w:type="dxa"/>
            </w:tcMar>
            <w:vAlign w:val="center"/>
          </w:tcPr>
          <w:p>
            <w:pPr>
              <w:pStyle w:val="TableContents"/>
              <w:bidi w:val="0"/>
              <w:spacing w:before="0" w:after="283"/>
              <w:ind w:left="0" w:right="0" w:firstLine="240"/>
              <w:jc w:val="center"/>
              <w:rPr>
                <w:rFonts w:ascii="Times New Roman" w:hAnsi="Times New Roman"/>
                <w:sz w:val="16"/>
              </w:rPr>
            </w:pPr>
            <w:r>
              <w:rPr>
                <w:rFonts w:ascii="Times New Roman" w:hAnsi="Times New Roman"/>
                <w:b/>
                <w:color w:val="000000"/>
                <w:sz w:val="16"/>
              </w:rPr>
              <w:t>Valuation Methodology</w:t>
            </w:r>
            <w:r>
              <w:rPr>
                <w:rFonts w:ascii="Times New Roman" w:hAnsi="Times New Roman"/>
                <w:color w:val="000000"/>
                <w:sz w:val="16"/>
              </w:rPr>
              <w:t xml:space="preserve"> </w:t>
            </w:r>
          </w:p>
        </w:tc>
      </w:tr>
      <w:tr>
        <w:trPr/>
        <w:tc>
          <w:tcPr>
            <w:tcW w:w="3766" w:type="dxa"/>
            <w:tcBorders/>
            <w:shd w:fill="CFF0FC" w:val="clear"/>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Promissory Notes, 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CFF0FC" w:val="clear"/>
            <w:tcMar>
              <w:top w:w="0" w:type="dxa"/>
              <w:left w:w="0" w:type="dxa"/>
              <w:bottom w:w="0" w:type="dxa"/>
              <w:right w:w="0" w:type="dxa"/>
            </w:tcMar>
            <w:vAlign w:val="center"/>
          </w:tcPr>
          <w:p>
            <w:pPr>
              <w:pStyle w:val="TableContents"/>
              <w:bidi w:val="0"/>
              <w:spacing w:before="0" w:after="20"/>
              <w:jc w:val="center"/>
              <w:rPr>
                <w:rFonts w:ascii="Times New Roman" w:hAnsi="Times New Roman"/>
                <w:color w:val="000000"/>
                <w:sz w:val="20"/>
              </w:rPr>
            </w:pPr>
            <w:r>
              <w:rPr>
                <w:rFonts w:ascii="Times New Roman" w:hAnsi="Times New Roman"/>
                <w:color w:val="000000"/>
                <w:sz w:val="20"/>
              </w:rPr>
              <w:t>2027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51" w:type="dxa"/>
            <w:tcBorders/>
            <w:shd w:fill="CFF0FC" w:val="clear"/>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Discounted cash flow method, Level 3 inputs</w:t>
            </w:r>
          </w:p>
        </w:tc>
      </w:tr>
      <w:tr>
        <w:trPr/>
        <w:tc>
          <w:tcPr>
            <w:tcW w:w="3766"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Commercial Loan, variable rate of interest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tcMar>
              <w:top w:w="0" w:type="dxa"/>
              <w:left w:w="0" w:type="dxa"/>
              <w:bottom w:w="0" w:type="dxa"/>
              <w:right w:w="0" w:type="dxa"/>
            </w:tcMar>
            <w:vAlign w:val="center"/>
          </w:tcPr>
          <w:p>
            <w:pPr>
              <w:pStyle w:val="TableContents"/>
              <w:bidi w:val="0"/>
              <w:spacing w:before="0" w:after="20"/>
              <w:jc w:val="center"/>
              <w:rPr>
                <w:rFonts w:ascii="Times New Roman" w:hAnsi="Times New Roman"/>
                <w:color w:val="000000"/>
                <w:sz w:val="20"/>
              </w:rPr>
            </w:pPr>
            <w:r>
              <w:rPr>
                <w:rFonts w:ascii="Times New Roman" w:hAnsi="Times New Roman"/>
                <w:color w:val="000000"/>
                <w:sz w:val="20"/>
              </w:rPr>
              <w:t>2029</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Discounted cash flow method, Level 3 inputs</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following tables present fair value information for liabilities that are carried on the condensed consolidated balance sheets at amounts other than fair value as of March 31, 2026 and December 31, 2025: </w:t>
      </w:r>
    </w:p>
    <w:p>
      <w:pPr>
        <w:pStyle w:val="TextBody"/>
        <w:bidi w:val="0"/>
        <w:jc w:val="left"/>
        <w:rPr/>
      </w:pPr>
      <w:r>
        <w:rPr/>
        <w:t> </w:t>
      </w:r>
    </w:p>
    <w:tbl>
      <w:tblPr>
        <w:tblW w:w="8457" w:type="dxa"/>
        <w:jc w:val="left"/>
        <w:tblInd w:w="0" w:type="dxa"/>
        <w:tblLayout w:type="fixed"/>
        <w:tblCellMar>
          <w:top w:w="28" w:type="dxa"/>
          <w:left w:w="28" w:type="dxa"/>
          <w:bottom w:w="28" w:type="dxa"/>
          <w:right w:w="28" w:type="dxa"/>
        </w:tblCellMar>
      </w:tblPr>
      <w:tblGrid>
        <w:gridCol w:w="2791"/>
        <w:gridCol w:w="146"/>
        <w:gridCol w:w="211"/>
        <w:gridCol w:w="676"/>
        <w:gridCol w:w="166"/>
        <w:gridCol w:w="146"/>
        <w:gridCol w:w="239"/>
        <w:gridCol w:w="391"/>
        <w:gridCol w:w="146"/>
        <w:gridCol w:w="146"/>
        <w:gridCol w:w="239"/>
        <w:gridCol w:w="391"/>
        <w:gridCol w:w="146"/>
        <w:gridCol w:w="146"/>
        <w:gridCol w:w="211"/>
        <w:gridCol w:w="676"/>
        <w:gridCol w:w="166"/>
        <w:gridCol w:w="146"/>
        <w:gridCol w:w="211"/>
        <w:gridCol w:w="676"/>
        <w:gridCol w:w="391"/>
      </w:tblGrid>
      <w:tr>
        <w:trPr/>
        <w:tc>
          <w:tcPr>
            <w:tcW w:w="27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7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29" w:type="dxa"/>
            <w:gridSpan w:val="1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 Measurements Using</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As of March 31,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Carrying</w:t>
              <w:br/>
              <w:t>Value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Estimated</w:t>
              <w:br/>
              <w:t>Fair Value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Financial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7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0.00% Promissory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2,335</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Commercial Loan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28,437</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unamortized issuance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(2,614</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7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32,386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28,158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28,158</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Slide Insurance Holdings, Inc.</w:t>
      </w:r>
    </w:p>
    <w:p>
      <w:pPr>
        <w:pStyle w:val="TextBody"/>
        <w:bidi w:val="0"/>
        <w:jc w:val="center"/>
        <w:rPr>
          <w:rFonts w:ascii="Times New Roman" w:hAnsi="Times New Roman"/>
          <w:b/>
          <w:color w:val="000000"/>
          <w:sz w:val="20"/>
        </w:rPr>
      </w:pPr>
      <w:r>
        <w:rPr>
          <w:rFonts w:ascii="Times New Roman" w:hAnsi="Times New Roman"/>
          <w:b/>
          <w:color w:val="000000"/>
          <w:sz w:val="20"/>
        </w:rPr>
        <w:t>Notes to Unaudited Condensed Consolidated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(Dollar amounts in thousands, except share and per share amounts, unless otherwise stated)</w:t>
      </w:r>
    </w:p>
    <w:p>
      <w:pPr>
        <w:pStyle w:val="TextBody"/>
        <w:bidi w:val="0"/>
        <w:jc w:val="left"/>
        <w:rPr/>
      </w:pPr>
      <w:r>
        <w:rPr/>
        <w:t> </w:t>
      </w:r>
    </w:p>
    <w:p>
      <w:pPr>
        <w:pStyle w:val="TextBody"/>
        <w:bidi w:val="0"/>
        <w:jc w:val="left"/>
        <w:rPr/>
      </w:pPr>
      <w:r>
        <w:rPr/>
        <w:t> </w:t>
      </w:r>
    </w:p>
    <w:tbl>
      <w:tblPr>
        <w:tblW w:w="8457" w:type="dxa"/>
        <w:jc w:val="left"/>
        <w:tblInd w:w="0" w:type="dxa"/>
        <w:tblLayout w:type="fixed"/>
        <w:tblCellMar>
          <w:top w:w="28" w:type="dxa"/>
          <w:left w:w="28" w:type="dxa"/>
          <w:bottom w:w="28" w:type="dxa"/>
          <w:right w:w="28" w:type="dxa"/>
        </w:tblCellMar>
      </w:tblPr>
      <w:tblGrid>
        <w:gridCol w:w="2791"/>
        <w:gridCol w:w="146"/>
        <w:gridCol w:w="211"/>
        <w:gridCol w:w="676"/>
        <w:gridCol w:w="166"/>
        <w:gridCol w:w="146"/>
        <w:gridCol w:w="239"/>
        <w:gridCol w:w="391"/>
        <w:gridCol w:w="146"/>
        <w:gridCol w:w="146"/>
        <w:gridCol w:w="239"/>
        <w:gridCol w:w="391"/>
        <w:gridCol w:w="146"/>
        <w:gridCol w:w="146"/>
        <w:gridCol w:w="211"/>
        <w:gridCol w:w="676"/>
        <w:gridCol w:w="166"/>
        <w:gridCol w:w="146"/>
        <w:gridCol w:w="211"/>
        <w:gridCol w:w="676"/>
        <w:gridCol w:w="391"/>
      </w:tblGrid>
      <w:tr>
        <w:trPr/>
        <w:tc>
          <w:tcPr>
            <w:tcW w:w="27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7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29" w:type="dxa"/>
            <w:gridSpan w:val="1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 Measurements Using</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As of December 31,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Carrying</w:t>
              <w:br/>
              <w:t>Value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Estimated</w:t>
              <w:br/>
              <w:t>Fair Value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Financial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7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0.00% Promissory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2,775</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Commercial Loan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30,088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30,088</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unamortized issuance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(2,813</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7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33,687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30,050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30,050</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5.</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 xml:space="preserve">Deferred Policy Acquisition Costs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Deferred policy acquisition costs consist of amounts paid for commissions and premium taxes that relate directly to and vary directly with the production of new and renewal business.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policy acquisition costs that the Company has capitalized and is amortizing over the effective periods of the related policies are as follows for the three months ended March 31, 2026 and 2025: </w:t>
      </w:r>
    </w:p>
    <w:p>
      <w:pPr>
        <w:pStyle w:val="TextBody"/>
        <w:bidi w:val="0"/>
        <w:jc w:val="left"/>
        <w:rPr/>
      </w:pPr>
      <w:r>
        <w:rPr/>
        <w:t> </w:t>
      </w:r>
    </w:p>
    <w:tbl>
      <w:tblPr>
        <w:tblW w:w="6150" w:type="dxa"/>
        <w:jc w:val="left"/>
        <w:tblInd w:w="0" w:type="dxa"/>
        <w:tblLayout w:type="fixed"/>
        <w:tblCellMar>
          <w:top w:w="28" w:type="dxa"/>
          <w:left w:w="28" w:type="dxa"/>
          <w:bottom w:w="28" w:type="dxa"/>
          <w:right w:w="28" w:type="dxa"/>
        </w:tblCellMar>
      </w:tblPr>
      <w:tblGrid>
        <w:gridCol w:w="2761"/>
        <w:gridCol w:w="146"/>
        <w:gridCol w:w="280"/>
        <w:gridCol w:w="980"/>
        <w:gridCol w:w="166"/>
        <w:gridCol w:w="146"/>
        <w:gridCol w:w="280"/>
        <w:gridCol w:w="980"/>
        <w:gridCol w:w="411"/>
      </w:tblGrid>
      <w:tr>
        <w:trPr/>
        <w:tc>
          <w:tcPr>
            <w:tcW w:w="27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27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32"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March 31,</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7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Beginning balance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93,728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65,046</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Policy acquisition costs deferred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38,688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24,276</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(44,125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(28,572</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7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Ending balance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88,291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60,750</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6.</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 xml:space="preserve">Loss and Loss Adjustment Expenses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establishes reserves for the estimated total unpaid costs of Loss and loss adjustment expenses (“LAE”). Loss and LAE reserves reflect management’s best estimate of the total cost of (i) claims that have been incurred, but not yet paid in full, and (ii) claims that have been incurred but not yet reported to the Company (“IBNR”). Reserves established by management represent an estimate of the outcome of future events and, as such, cannot be considered an exact calculation of our liability. Rather, loss and LAE reserves represent management’s best estimate of the Company’s liability based on the application of actuarial techniques and other projection methodologies and taking into consideration other facts and circumstances known at the balance sheet date. The process of establishing loss and LAE reserves is complex and inherently imprecise, as it involves the estimation of the outcome of future uncertain events. The impact of both internal and external variables on ultimate losses and LAE costs is difficult to estimate. In determining loss and LAE reserves, the Company gives careful consideration to all available data and actuarial analyses.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primarily writes insurance in states which could be exposed to hurricanes or other natural catastrophes. The occurrence of a major catastrophe could have a significant effect on the Company’s results and cause a temporary disruption of the normal operations of the Company. However, the Company is unable to predict the frequency or severity of any such events that may occur in the near term or thereafter.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Slide Insurance Holdings, Inc.</w:t>
      </w:r>
    </w:p>
    <w:p>
      <w:pPr>
        <w:pStyle w:val="TextBody"/>
        <w:bidi w:val="0"/>
        <w:jc w:val="center"/>
        <w:rPr>
          <w:rFonts w:ascii="Times New Roman" w:hAnsi="Times New Roman"/>
          <w:b/>
          <w:color w:val="000000"/>
          <w:sz w:val="20"/>
        </w:rPr>
      </w:pPr>
      <w:r>
        <w:rPr>
          <w:rFonts w:ascii="Times New Roman" w:hAnsi="Times New Roman"/>
          <w:b/>
          <w:color w:val="000000"/>
          <w:sz w:val="20"/>
        </w:rPr>
        <w:t>Notes to Unaudited Condensed Consolidated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(Dollar amounts in thousands, except share and per share amounts, unless otherwise stated)</w:t>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Activity related to the loss and LAE reserves are summarized as follows: </w:t>
      </w:r>
    </w:p>
    <w:p>
      <w:pPr>
        <w:pStyle w:val="TextBody"/>
        <w:bidi w:val="0"/>
        <w:jc w:val="left"/>
        <w:rPr/>
      </w:pPr>
      <w:r>
        <w:rPr/>
        <w:t> </w:t>
      </w:r>
    </w:p>
    <w:tbl>
      <w:tblPr>
        <w:tblW w:w="6499" w:type="dxa"/>
        <w:jc w:val="left"/>
        <w:tblInd w:w="0" w:type="dxa"/>
        <w:tblLayout w:type="fixed"/>
        <w:tblCellMar>
          <w:top w:w="28" w:type="dxa"/>
          <w:left w:w="28" w:type="dxa"/>
          <w:bottom w:w="28" w:type="dxa"/>
          <w:right w:w="28" w:type="dxa"/>
        </w:tblCellMar>
      </w:tblPr>
      <w:tblGrid>
        <w:gridCol w:w="3066"/>
        <w:gridCol w:w="546"/>
        <w:gridCol w:w="211"/>
        <w:gridCol w:w="781"/>
        <w:gridCol w:w="146"/>
        <w:gridCol w:w="146"/>
        <w:gridCol w:w="211"/>
        <w:gridCol w:w="781"/>
        <w:gridCol w:w="611"/>
      </w:tblGrid>
      <w:tr>
        <w:trPr/>
        <w:tc>
          <w:tcPr>
            <w:tcW w:w="3066"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30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March 31,</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Balances, beginning of period</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439,715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595,487</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reinsurance recoverables</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146,128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341,051</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0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balances, beginning of period</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293,587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254,436</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0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Incurred related to:</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306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Current year</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111,073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91,018</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06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Prior years</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(7,257</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306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20"/>
              </w:rPr>
            </w:pPr>
            <w:r>
              <w:rPr>
                <w:rFonts w:ascii="Times New Roman" w:hAnsi="Times New Roman"/>
                <w:b/>
                <w:color w:val="000000"/>
                <w:sz w:val="20"/>
              </w:rPr>
              <w:t>Total incurred</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111,073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83,761</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0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Paid related to:</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306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Current year</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5,119</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06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Prior years</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35,591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45,853</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06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20"/>
              </w:rPr>
            </w:pPr>
            <w:r>
              <w:rPr>
                <w:rFonts w:ascii="Times New Roman" w:hAnsi="Times New Roman"/>
                <w:b/>
                <w:color w:val="000000"/>
                <w:sz w:val="20"/>
              </w:rPr>
              <w:t>Total paid</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59,401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50,972</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0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balances, end of period</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345,259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287,225</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Plus reinsurance recoverables</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130,999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283,955</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0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Balances at March 31</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476,258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571,180</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establishment of loss and LAE reserves is an inherently uncertain process and changes in loss and LAE reserve estimates are expected as these estimates are subject to the outcome of future events. Changes in estimates, or differences between estimates and amounts ultimately paid, are reflected in the operating results of the period during which such adjustments are adjusted. During the three months ended March 31, 2026, the Company did not experience any prior year development. During the three months ended March 31, 2025, the Company recognized $7,257 of favorable loss development primarily to reduce non-catastrophe reserves in response to lower than expected payments.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7.</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 xml:space="preserve">Income Taxes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recorded income tax expense of $46,149 and $31,404 for the three months ended March 31, 2026 and 2025, respectively. The income tax expense resulted in an effective tax rate of 24.9% and 25.3% for the three months ended March 31, 2026 and 2025, respectively. The decrease in the effective income tax rate was primarily due to the favorable treatment of stock options. The Company’s estimated annual effective tax rate differs from the statutory federal tax rate due to state income taxes as well as certain nondeductible and tax-exempt items.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September of 2025, the Company purchased $67.9 million of transferable Section 45x advanced manufacturing production tax credits for $65.4 million to reduce our federal tax liability. All tax credits have been applied to prior year tax returns.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July 4, 2025, the United States enacted the One Big Beautiful Bill Act (“OBBBA”), which, among other provisions, permanently restores 100% bonus depreciation and modifies the limitation on business-interest expense under §163(j) to be based on taxable income before interest, amortization, and depreciation. Based on preliminary analysis, management expects OBBBA to reduce U.S. cash income-tax payments. There is not expected to be any impact on the effective tax rate. </w:t>
      </w:r>
    </w:p>
    <w:p>
      <w:pPr>
        <w:pStyle w:val="TextBody"/>
        <w:bidi w:val="0"/>
        <w:spacing w:before="120" w:after="283"/>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8.</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 xml:space="preserve">Reinsurance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Certain premiums and losses are ceded to other insurance companies under various excess of loss reinsurance agreements. The ceded reinsurance agreements are intended to provide the Company with the ability to maintain its exposure to losses within its capital resources.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These reinsurance agreements do not relieve the Company from its primary obligation to policyholders, as it remains liable to its policyholders to the extent that any reinsurer does not meet its obligations for reinsurance ceded to it under reinsurance contracts. Therefore, the Company is subject to credit risk with respect to the obligations of its reinsurers, and any failure on the part of these reinsurers could have a material adverse effect on the Company’s business, financial condition and results of operations.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Slide Insurance Holdings, Inc.</w:t>
      </w:r>
    </w:p>
    <w:p>
      <w:pPr>
        <w:pStyle w:val="TextBody"/>
        <w:bidi w:val="0"/>
        <w:jc w:val="center"/>
        <w:rPr>
          <w:rFonts w:ascii="Times New Roman" w:hAnsi="Times New Roman"/>
          <w:b/>
          <w:color w:val="000000"/>
          <w:sz w:val="20"/>
        </w:rPr>
      </w:pPr>
      <w:r>
        <w:rPr>
          <w:rFonts w:ascii="Times New Roman" w:hAnsi="Times New Roman"/>
          <w:b/>
          <w:color w:val="000000"/>
          <w:sz w:val="20"/>
        </w:rPr>
        <w:t>Notes to Unaudited Condensed Consolidated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(Dollar amounts in thousands, except share and per share amounts, unless otherwise stated)</w:t>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Effective June 1, 2025, the Company entered into a per risk excess of loss treaty for its personal residential property business retaining $0.7 million on each property risk and ceding the next $4.3 million of loss. The per risk excess of loss treaties cover 100% of all losses except those related to named storms. These treaties are effective until May 31, 2026.</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Effective June 1, 2025, the Company entered into a facultative excess of loss reinsurance contract for its personal residential property business which provides $7 million of coverage in excess of $5 million for each loss, each risk. The reinsurer’s total liability is capped at $14 million.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Effective October 29, 2025, the Company entered into a per risk excess of loss treaty for its commercial residential property business retaining $1 million on each risk and ceding the next $9 million of loss. The per risk excess of loss treaties cover 100% of all losses except those related to named storms. These treaties are effective until November 1, 2026.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Effective November 1, 2025, the Company entered into a facultative excess of loss reinsurance contract for its commercial residential property business which provides $65 million of coverage in excess of $10 million for each loss, each risk. Like the per risk treaty, the facultative contract does not cover losses related to named storms. These treaties are effective until November 1, 2026.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To minimize the Company’s exposure to losses from catastrophes, primarily hurricanes, the Company has entered into a catastrophe excess of loss agreement, and is required to participate in the Florida Hurricane Catastrophe Fund (“FHCF”).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catastrophe excess of loss agreement has a corridor through it, whereby the FHCF picks up 90% of losses and the catastrophe layers pick up the remaining 10%. The mandatory FHCF layer is estimated to be 90% of $1,047.9 million, excess of $557.2 million. Premium for this coverage is estimated to be $71.3 million. The ultimate net loss for each of the above layers will include any recoveries from the FHCF or so deemed. The FHCF provides catastrophe coverage for named hurricanes up to a maximum limit of 90% of the amount of ultimate losses in the layer, as determined by a premium formula. The Company’s maximum projected payout from the FHCF is estimated to be $943.1 million, with a retention of $557.2 million.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Effective June 1, 2024, the Company entered into a per risk excess of loss treaty retaining $0.7 million on each property risk and ceding the next $4.3 million of loss. The per risk excess of loss treaties cover 100% of all losses except those related to named storms. These treaties expired on May 31, 2025.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Effective June 1, 2024, the Company entered into a facultative excess of loss reinsurance contract which provides $7 million of coverage in excess of $5 million for each loss, each risk. The reinsurer’s total liability is capped at $14 million.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catastrophic excess of loss agreement has a corridor through it, whereby the FHCF picks up 90% of losses and the catastrophe layers pick up the remaining 10%. The mandatory FHCF layer is 90% of $791.7 million, excess of $379.3 million. Premium for this coverage is $60.1 million. The ultimate net loss for each of the above layers will include any recoveries from the FHCF or so deemed. The FHCF provides catastrophe coverage for named hurricanes up to a maximum limit of 90% of the amount of ultimate losses in the layer, as determined by a premium formula. The Company’s maximum projected payout from the FHCF is $712.5 million, with a retention of $379.3 million.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Effective October 29, 2024, the Company entered into a per risk excess of loss treaty for its commercial residential property business retaining $1 million on each risk and ceding the next $9 million of loss. The per risk excess of loss treaties cover 100% of all losses except those related to named storms. These treaties expired on November 1, 2025.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Effective October 29, 2024, the Company entered into a facultative excess of loss reinsurance contract for its commercial residential property business which provides $50 million of coverage in excess of $10 million for each loss, each risk. Like the per risk treaty, the facultative contract does not cover losses related to named storms. These treaties expired on November 1, 2025.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9.</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 xml:space="preserve">Revolving Credit Facility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 June 25, 2024, the Company entered into an amended and restated credit agreement ("the Credit Agreement") with Regions Bank for (i) $10 million revolving credit facility, which was amended to a $45 million revolving credit facility on March 20, 2025, (ii) term loan in an aggregate principal amount of $40 million and (iii) one or more delayed draw term loans in an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Slide Insurance Holdings, Inc.</w:t>
      </w:r>
    </w:p>
    <w:p>
      <w:pPr>
        <w:pStyle w:val="TextBody"/>
        <w:bidi w:val="0"/>
        <w:jc w:val="center"/>
        <w:rPr>
          <w:rFonts w:ascii="Times New Roman" w:hAnsi="Times New Roman"/>
          <w:b/>
          <w:color w:val="000000"/>
          <w:sz w:val="20"/>
        </w:rPr>
      </w:pPr>
      <w:r>
        <w:rPr>
          <w:rFonts w:ascii="Times New Roman" w:hAnsi="Times New Roman"/>
          <w:b/>
          <w:color w:val="000000"/>
          <w:sz w:val="20"/>
        </w:rPr>
        <w:t>Notes to Unaudited Condensed Consolidated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(Dollar amounts in thousands, except share and per share amounts, unless otherwise stated)</w:t>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aggregate principal amount not to exceed $125 million (together, the “Credit Facility”). Under the terms of the Credit Facility, borrowings bear interest at an annual rate equal to the three-month Secured Overnight Financing Rate (“SOFR”) based on the consolidated leverage ratio as defined in the agreement. The interest payment is due quarterly in arrears on the last business day of each quarter. The Credit Facility contains affirmative and negative covenants as well as customary events of default. In addition, the Company must comply with certain financial and non-financial covenants and agree to pay a fee equal to the product of the unused line fee rate and the average of the daily unused available credit balances of the revolving credit facility. The unused line fee rate is 0.5%. The Credit Facility matures on June 25, 2029.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At March 31, 2026, the Company had no borrowings outstanding under the revolving credit facility. At March 31, 2026, the Company was in compliance with all required covenants and had available borrowing capacity of $45 million.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At March 31, 2026, the Company had no borrowings outstanding under the delayed draw term loan credit facility. At March 31, 2026, the Company was in compliance with all required covenants and had available borrowing capacity of $125 million.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10.</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 xml:space="preserve">Long-Term Debt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June 25, 2024, the Company entered into a $40 million 5-year commercial loan agreement with a commercial bank. The loan is fully collateralized by assets of the Company. The Company may make voluntary prepayments of principal at any time, in whole or in part. Under the terms of the Credit Agreement, borrowings bear interest at an annual rate equal to the one- or three-month SOFR plus a margin based on the debt-to-capital ratio. The interest payment is due quarterly in arrears on the last business day of each quarter. The Credit Agreement contains affirmative and negative covenants as well as customary events of default. In addition, the Company must comply with certain financial and non-financial covenants. At March 31, 2026, the Company was in compliance with all covenants.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 June 25, 2024, in connection with the issuance of the Credit Facility, the Company incurred loan costs and debt discount of $3,692. The Company amortizes these costs over the life of the Credit Facility using the interest method. Amortization of deferred loan costs is included in Interest expense in the Consolidated Statements of Operations. In connection with the issuance of the Credit Facility, the Company refinanced the credit facility that was issued on May 3, 2023, including the remaining term loan balance of $27,750 that was repaid in full. The Company recognized an extinguishment loss within interest expense on the statement of operations of the remaining deferred loan costs associated with the refinanced credit facility totaling $589 in June 2024. </w:t>
      </w:r>
    </w:p>
    <w:p>
      <w:pPr>
        <w:pStyle w:val="TextBody"/>
        <w:bidi w:val="0"/>
        <w:jc w:val="left"/>
        <w:rPr/>
      </w:pPr>
      <w:r>
        <w:rPr/>
        <w:t> </w:t>
      </w:r>
    </w:p>
    <w:tbl>
      <w:tblPr>
        <w:tblW w:w="9900" w:type="dxa"/>
        <w:jc w:val="left"/>
        <w:tblInd w:w="0" w:type="dxa"/>
        <w:tblLayout w:type="fixed"/>
        <w:tblCellMar>
          <w:top w:w="28" w:type="dxa"/>
          <w:left w:w="28" w:type="dxa"/>
          <w:bottom w:w="28" w:type="dxa"/>
          <w:right w:w="28" w:type="dxa"/>
        </w:tblCellMar>
      </w:tblPr>
      <w:tblGrid>
        <w:gridCol w:w="3631"/>
        <w:gridCol w:w="146"/>
        <w:gridCol w:w="961"/>
        <w:gridCol w:w="146"/>
        <w:gridCol w:w="189"/>
        <w:gridCol w:w="607"/>
        <w:gridCol w:w="271"/>
        <w:gridCol w:w="146"/>
        <w:gridCol w:w="211"/>
        <w:gridCol w:w="676"/>
        <w:gridCol w:w="146"/>
        <w:gridCol w:w="146"/>
        <w:gridCol w:w="239"/>
        <w:gridCol w:w="767"/>
        <w:gridCol w:w="166"/>
        <w:gridCol w:w="146"/>
        <w:gridCol w:w="260"/>
        <w:gridCol w:w="835"/>
        <w:gridCol w:w="211"/>
      </w:tblGrid>
      <w:tr>
        <w:trPr/>
        <w:tc>
          <w:tcPr>
            <w:tcW w:w="36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6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Issue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Interest</w:t>
              <w:br/>
              <w:t>Rate</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Original</w:t>
              <w:br/>
              <w:t>Principal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Outstanding</w:t>
              <w:br/>
              <w:t>Principal at</w:t>
              <w:br/>
              <w:t>March 31,</w:t>
              <w:b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Outstanding</w:t>
              <w:br/>
              <w:t>Principal at</w:t>
              <w:br/>
              <w:t>December 31,</w:t>
              <w:b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Promissory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3/31/2022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Commercial Loan 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6/25/2024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Variable</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34,000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Deferred loan costs and debt discount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(2,813</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32,386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33,687</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following summarizes future maturities of long-term debt principal as March 31, 2026: </w:t>
      </w:r>
    </w:p>
    <w:p>
      <w:pPr>
        <w:pStyle w:val="TextBody"/>
        <w:bidi w:val="0"/>
        <w:jc w:val="left"/>
        <w:rPr/>
      </w:pPr>
      <w:r>
        <w:rPr/>
        <w:t> </w:t>
      </w:r>
    </w:p>
    <w:tbl>
      <w:tblPr>
        <w:tblW w:w="4271" w:type="dxa"/>
        <w:jc w:val="left"/>
        <w:tblInd w:w="0" w:type="dxa"/>
        <w:tblLayout w:type="fixed"/>
        <w:tblCellMar>
          <w:top w:w="28" w:type="dxa"/>
          <w:left w:w="28" w:type="dxa"/>
          <w:bottom w:w="28" w:type="dxa"/>
          <w:right w:w="28" w:type="dxa"/>
        </w:tblCellMar>
      </w:tblPr>
      <w:tblGrid>
        <w:gridCol w:w="541"/>
        <w:gridCol w:w="146"/>
        <w:gridCol w:w="251"/>
        <w:gridCol w:w="680"/>
        <w:gridCol w:w="146"/>
        <w:gridCol w:w="146"/>
        <w:gridCol w:w="235"/>
        <w:gridCol w:w="756"/>
        <w:gridCol w:w="146"/>
        <w:gridCol w:w="146"/>
        <w:gridCol w:w="211"/>
        <w:gridCol w:w="676"/>
        <w:gridCol w:w="191"/>
      </w:tblGrid>
      <w:tr>
        <w:trPr/>
        <w:tc>
          <w:tcPr>
            <w:tcW w:w="5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5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Promissory</w:t>
              <w:br/>
              <w:t>Notes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Commercial</w:t>
              <w:br/>
              <w:t>Term Loan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22,000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4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2,000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33,000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35,000</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11.</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 xml:space="preserve">Affiliate Transactions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had no transactions with affiliates that have not been fully eliminated in consolidation in the three months ended March 31, 2026 and 2025.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Slide Insurance Holdings, Inc.</w:t>
      </w:r>
    </w:p>
    <w:p>
      <w:pPr>
        <w:pStyle w:val="TextBody"/>
        <w:bidi w:val="0"/>
        <w:jc w:val="center"/>
        <w:rPr>
          <w:rFonts w:ascii="Times New Roman" w:hAnsi="Times New Roman"/>
          <w:b/>
          <w:color w:val="000000"/>
          <w:sz w:val="20"/>
        </w:rPr>
      </w:pPr>
      <w:r>
        <w:rPr>
          <w:rFonts w:ascii="Times New Roman" w:hAnsi="Times New Roman"/>
          <w:b/>
          <w:color w:val="000000"/>
          <w:sz w:val="20"/>
        </w:rPr>
        <w:t>Notes to Unaudited Condensed Consolidated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(Dollar amounts in thousands, except share and per share amounts, unless otherwise stated)</w:t>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12.</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 xml:space="preserve">Leases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has entered into operating leases primarily for real estate. The Company will determine whether an arrangement is a lease at inception of the agreement. The operating leases have terms of one to eight years, and often include one or more options to renew. These renewal terms can extend the lease term from two to 10 years and are included in the lease term when it is reasonably certain that the Company will exercise the option. The Company considers these options in determining the lease term used in establishing our right-of-use assets and lease obligations. Our lease agreements do not contain any material residual value guarantees or material restrictive covenants.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Because the rate implicit in each operating lease is not readily determinable, the Company uses its incremental borrowing rate to determine present value of the lease payments.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components of lease costs were as follows for the respective years: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013"/>
        <w:gridCol w:w="146"/>
        <w:gridCol w:w="340"/>
        <w:gridCol w:w="816"/>
        <w:gridCol w:w="271"/>
        <w:gridCol w:w="146"/>
        <w:gridCol w:w="340"/>
        <w:gridCol w:w="816"/>
        <w:gridCol w:w="317"/>
      </w:tblGrid>
      <w:tr>
        <w:trPr/>
        <w:tc>
          <w:tcPr>
            <w:tcW w:w="701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r>
      <w:tr>
        <w:trPr/>
        <w:tc>
          <w:tcPr>
            <w:tcW w:w="70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2025</w:t>
            </w:r>
          </w:p>
        </w:tc>
        <w:tc>
          <w:tcPr>
            <w:tcW w:w="3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0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cost, include in General and Administrative expenses on the Consolidated Statements of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376</w:t>
            </w:r>
          </w:p>
        </w:tc>
        <w:tc>
          <w:tcPr>
            <w:tcW w:w="3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Right-of-use lease asset and Lease liability was as follows: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5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0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Right-of-use asset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8,050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8,047</w:t>
            </w:r>
          </w:p>
        </w:tc>
        <w:tc>
          <w:tcPr>
            <w:tcW w:w="3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9,294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8,727</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Supplemental cash flow information related to our operating leases as follows: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5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0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Right-of-use asset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343</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(336</w:t>
            </w:r>
          </w:p>
        </w:tc>
        <w:tc>
          <w:tcPr>
            <w:tcW w:w="3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0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lease term and discount rate for our operating lease was as follows: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5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0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remaining lease term</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5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0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4.33 years</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56"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5.08 years</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0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discount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5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0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5.08</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Future lease payments for the operating lease were as follows as of March 31, 2026: </w:t>
      </w:r>
    </w:p>
    <w:p>
      <w:pPr>
        <w:pStyle w:val="TextBody"/>
        <w:bidi w:val="0"/>
        <w:jc w:val="left"/>
        <w:rPr/>
      </w:pPr>
      <w:r>
        <w:rPr/>
        <w:t> </w:t>
      </w:r>
    </w:p>
    <w:tbl>
      <w:tblPr>
        <w:tblW w:w="3790" w:type="dxa"/>
        <w:jc w:val="left"/>
        <w:tblInd w:w="0" w:type="dxa"/>
        <w:tblLayout w:type="fixed"/>
        <w:tblCellMar>
          <w:top w:w="28" w:type="dxa"/>
          <w:left w:w="28" w:type="dxa"/>
          <w:bottom w:w="28" w:type="dxa"/>
          <w:right w:w="28" w:type="dxa"/>
        </w:tblCellMar>
      </w:tblPr>
      <w:tblGrid>
        <w:gridCol w:w="2566"/>
        <w:gridCol w:w="146"/>
        <w:gridCol w:w="211"/>
        <w:gridCol w:w="676"/>
        <w:gridCol w:w="191"/>
      </w:tblGrid>
      <w:tr>
        <w:trPr/>
        <w:tc>
          <w:tcPr>
            <w:tcW w:w="25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5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 (remaining)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Thereafter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1,219</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5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lease payments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10,452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imputed 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1,158</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5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Present value of lease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9,294</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13.</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 xml:space="preserve">Regulatory Matters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has no restrictions on the payment of dividends to its shareholders except those restrictions imposed by the General Corporation Law of the State of Delaware and those restrictions imposed by insurance statutes and regulations applicable to the Company’s insurance subsidiaries.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SIC and Slide Specialty can only pay dividends to SIH out of their available and accumulated surplus funds, which are derived from realized net operating profits on their respective businesses and net unrealized capital gains. Dividend payments without prior written approval of the FLOIR shall not exceed the greater of: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lesser of 10% of surplus or net income, not including realized capital gains, plus a two-year carryforward;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Slide Insurance Holdings, Inc.</w:t>
      </w:r>
    </w:p>
    <w:p>
      <w:pPr>
        <w:pStyle w:val="TextBody"/>
        <w:bidi w:val="0"/>
        <w:jc w:val="center"/>
        <w:rPr>
          <w:rFonts w:ascii="Times New Roman" w:hAnsi="Times New Roman"/>
          <w:b/>
          <w:color w:val="000000"/>
          <w:sz w:val="20"/>
        </w:rPr>
      </w:pPr>
      <w:r>
        <w:rPr>
          <w:rFonts w:ascii="Times New Roman" w:hAnsi="Times New Roman"/>
          <w:b/>
          <w:color w:val="000000"/>
          <w:sz w:val="20"/>
        </w:rPr>
        <w:t>Notes to Unaudited Condensed Consolidated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(Dollar amounts in thousands, except share and per share amounts, unless otherwise stated)</w:t>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Ten percent of surplus, with dividends payable constrained to unassigned funds, minus 25% of unrealized capital gains; or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lesser of 10% of surplus or net investment income plus a three-year carryforward with dividends payable constrained to unassigned funds minus 25% of unrealized capital gains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lieu of the above computations, the maximum dividend allowed by SIC may be up to the greater of 10% of surplus derived from realized net operating profits and realized capital gains or SIC's entire net operating profits and net realized capital gains from the immediately preceding calendar year, provided that SIC will have at least 115% of minimum required surplus after any such dividend.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No dividends were paid by SIC or Slide Specialty in 2026 and 2025. Florida Statute Section 624.408 requires SIC to maintain a minimum level of surplus of not less than the greater of 10% of the Company’s total liabilities, or $15,000. Based on this requirement, SIC was required to maintain capital and surplus of $124,070 and $113,922 as of March 31, 2026 and December 31, 2025, respectively. As of March 31, 2026 and December 31, 2025, SIC’s statutory-basis surplus totaled $484,093 and $417,940, meeting the minimum surplus requirements.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SIC and Slide Specialty are required to comply with the NAIC risk-based capital (“RBC”) requirements. RBC is a method of measuring the amount of capital appropriate for an insurance company to support its overall business operations in light of its size and risk profile. At March 31, 2026 and December 31, 2025, SIC and Slide Specialty’s total adjusted capital exceeded the RBC company-action level.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U.S. GAAP differs in certain respects from the accounting practices prescribed or permitted by insurance regulatory authorities (statutory-basis). These entities’ statutory-basis financial statements are presented on the basis of accounting practices prescribed or permitted by the FLOIR. The FLOIR has adopted the National Association of Insurance Commissioners (“NAIC”) Accounting Practices and Procedures Manual as the basis of its statutory accounting practices. Statutory-basis surplus differs from shareholders’ equity reported in accordance with U.S. GAAP primarily because policy acquisition costs are expensed when incurred and because of different timing of recognizing the brokerage income for reinsurance recoverables. In addition, the recognition of deferred tax assets is based on different recoverability assumptions and material differences may also arise from the differing treatment of non-admitted assets and unrealized gains and losses from investments.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14.</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 xml:space="preserve">Commitments and Contingencies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Various lawsuits against the Company have arisen in the course of the Company’s business. Management does not consider contingent liabilities arising from litigation and other matters material in relation to the financial position of the Company.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15.</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 xml:space="preserve">Guaranty Fund and Other Assessments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SIC is subject to guaranty fund and other assessments in both Florida and in South Carolina, states in which the SIC underwrites policies. Guaranty fund assessments should be accrued when (i) an assessment has been imposed or information available prior to issuance of the statutory-basis financial statements indicates that it is probable that an assessment will be imposed; (ii) the event obligating an entity to pay an imposed or probable assessment has occurred on or before the date of the consolidated financial statements; and (iii) the amount of the assessment can be reasonably estimated at the time of the event triggering the accrual.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SIC is subject to assessments by guaranty funds in the states in which it conducts business, a residual market pool, and a state catastrophe reinsurance pool. The activities of these funds and pools include collecting funds from solvent insurance companies to cover losses resulting from the insolvency or rehabilitation of other insurance companies, or deficits generated by Citizens, and the FHCF. SIC is allowed to recover these assessments through premiums collected from policyholders. As of March 31, 2026, and December 31, 2025, SIC had payables relating to these assessments totaling $3,123 and $3,106, respectively. The payable is included within other liabilities on the balance sheet.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16.</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 xml:space="preserve">Shareholders’ Equity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Prior to June 18, 2025, the Company was authorized to issue one class of common stock (par value of $0.01 per share) to its shareholders.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Slide Insurance Holdings, Inc.</w:t>
      </w:r>
    </w:p>
    <w:p>
      <w:pPr>
        <w:pStyle w:val="TextBody"/>
        <w:bidi w:val="0"/>
        <w:jc w:val="center"/>
        <w:rPr>
          <w:rFonts w:ascii="Times New Roman" w:hAnsi="Times New Roman"/>
          <w:b/>
          <w:color w:val="000000"/>
          <w:sz w:val="20"/>
        </w:rPr>
      </w:pPr>
      <w:r>
        <w:rPr>
          <w:rFonts w:ascii="Times New Roman" w:hAnsi="Times New Roman"/>
          <w:b/>
          <w:color w:val="000000"/>
          <w:sz w:val="20"/>
        </w:rPr>
        <w:t>Notes to Unaudited Condensed Consolidated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(Dollar amounts in thousands, except share and per share amounts, unless otherwise stated)</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Company amended and restated its articles of incorporation on June 18, 2025, authorizing capital stock of 1.5 billion shares of common stock, par value $0.01 per share, and 150.0 million shares of preferred stock, par value $0.01 per share. As of March 31, 2026, there were 117.6 million shares of common stock outstanding.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Prior to June 18, 2025, the Company was authorized to issue one class of preferred stock (par value of $0.01 per share) to its shareholders and had 20.0 million shares of preferred stock authorized pre stock split. All preferred shares had a liquidation preference equal to $13.64 per share and were convertible to common shares at the election of the holder on a one-for-one basis. The preferred stock were automatically converted to common stock of the Company in connection with the Company's IPO.</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On June 18, 2025, the company completed its IPO in which it issued and sold 24.0 million shares of common stock, of which 16.7 million shares were sold by the Company and 7.3 million shares were sold by certain selling stockholders, at a public offering price of $17.00 per share.</w:t>
      </w:r>
    </w:p>
    <w:p>
      <w:pPr>
        <w:pStyle w:val="TextBody"/>
        <w:bidi w:val="0"/>
        <w:jc w:val="left"/>
        <w:rPr>
          <w:rFonts w:ascii="Times New Roman" w:hAnsi="Times New Roman"/>
          <w:color w:val="000000"/>
          <w:sz w:val="20"/>
        </w:rPr>
      </w:pPr>
      <w:r>
        <w:rPr>
          <w:rFonts w:ascii="Times New Roman" w:hAnsi="Times New Roman"/>
          <w:color w:val="000000"/>
          <w:sz w:val="20"/>
        </w:rPr>
        <w:t>In connection with the IPO, the company effectuated an approximately 5.5-for-one stock split of its common stock, preferred stock, vested and unvested stock options and vested and unvested restricted share units. Subsequent to the stock split, and prior to the completion of the IPO, all shares of preferred stock, 9.3 million shares, were converted into common stock at a conversion price of $2.48.</w:t>
      </w:r>
    </w:p>
    <w:p>
      <w:pPr>
        <w:pStyle w:val="TextBody"/>
        <w:bidi w:val="0"/>
        <w:jc w:val="left"/>
        <w:rPr>
          <w:rFonts w:ascii="Times New Roman" w:hAnsi="Times New Roman"/>
          <w:color w:val="000000"/>
          <w:sz w:val="20"/>
        </w:rPr>
      </w:pPr>
      <w:r>
        <w:rPr>
          <w:rFonts w:ascii="Times New Roman" w:hAnsi="Times New Roman"/>
          <w:color w:val="000000"/>
          <w:sz w:val="20"/>
        </w:rPr>
        <w:t xml:space="preserve">No distributions or dividends were declared or paid during the period ended March 31, 2026 or December 31, 2025.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17.</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 xml:space="preserve">Stock-based Compensation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March 31, 2026 and 2025, the Company has two share-based compensation plans, the 2021 Equity Compensation Plan (the “Stock Plan”) and the 2025 Omnibus Incentive Plan (the “2025 Plan”), and one share-based compensation plan, the Stock Plan, respectively.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compensation cost that has been charged against income for the plans was $3,079 for the three months ended March 31, 2026, and $3,014 for the three months ended March 31, 2025, respectively. The total income tax benefit recognized in the income statement for share-based compensation arrangements was $765 for the three months ended March 31, 2026, and $764 for the three months ended March 31, 2025.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Stock Plan permits the awarding of common stock share options to its employees and strategic advisors for up to 16,985,293 shares. Option awards were generally granted with an exercise price equal to the market price of the Company’s stock at the date of grant and vest based on three- to five-year vesting schedules. The fair value of each option award is estimated on the grant date using a Black-Scholes model. The compensation expense for the shares is recognized over the requisite service period for the employee. There were no options granted during the three months ended March 31, 2026 and 2025.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part of the IPO, the Company adopted the 2025 Plan, effective as of June 18, 2025. The 2025 Plan permits the awarding of common stock share options and restricted stock units for up to 12.0 million shares. There have been 460.4 thousand restricted shares issued as of March 31, 2026.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Slide Insurance Holdings, Inc.</w:t>
      </w:r>
    </w:p>
    <w:p>
      <w:pPr>
        <w:pStyle w:val="TextBody"/>
        <w:bidi w:val="0"/>
        <w:jc w:val="center"/>
        <w:rPr>
          <w:rFonts w:ascii="Times New Roman" w:hAnsi="Times New Roman"/>
          <w:b/>
          <w:color w:val="000000"/>
          <w:sz w:val="20"/>
        </w:rPr>
      </w:pPr>
      <w:r>
        <w:rPr>
          <w:rFonts w:ascii="Times New Roman" w:hAnsi="Times New Roman"/>
          <w:b/>
          <w:color w:val="000000"/>
          <w:sz w:val="20"/>
        </w:rPr>
        <w:t>Notes to Unaudited Condensed Consolidated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(Dollar amounts in thousands, except share and per share amounts, unless otherwise stated)</w:t>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 summary of option activity under the Stock Plan as of March 31, 2026 and March 31, 2025, respectively, and changes during the year then ended is presented below: </w:t>
      </w:r>
    </w:p>
    <w:p>
      <w:pPr>
        <w:pStyle w:val="TextBody"/>
        <w:bidi w:val="0"/>
        <w:jc w:val="left"/>
        <w:rPr/>
      </w:pPr>
      <w:r>
        <w:rPr/>
        <w:t> </w:t>
      </w:r>
    </w:p>
    <w:tbl>
      <w:tblPr>
        <w:tblW w:w="8718" w:type="dxa"/>
        <w:jc w:val="left"/>
        <w:tblInd w:w="0" w:type="dxa"/>
        <w:tblLayout w:type="fixed"/>
        <w:tblCellMar>
          <w:top w:w="28" w:type="dxa"/>
          <w:left w:w="28" w:type="dxa"/>
          <w:bottom w:w="28" w:type="dxa"/>
          <w:right w:w="28" w:type="dxa"/>
        </w:tblCellMar>
      </w:tblPr>
      <w:tblGrid>
        <w:gridCol w:w="3781"/>
        <w:gridCol w:w="146"/>
        <w:gridCol w:w="156"/>
        <w:gridCol w:w="729"/>
        <w:gridCol w:w="146"/>
        <w:gridCol w:w="146"/>
        <w:gridCol w:w="266"/>
        <w:gridCol w:w="590"/>
        <w:gridCol w:w="146"/>
        <w:gridCol w:w="146"/>
        <w:gridCol w:w="236"/>
        <w:gridCol w:w="755"/>
        <w:gridCol w:w="146"/>
        <w:gridCol w:w="146"/>
        <w:gridCol w:w="211"/>
        <w:gridCol w:w="781"/>
        <w:gridCol w:w="191"/>
      </w:tblGrid>
      <w:tr>
        <w:trPr/>
        <w:tc>
          <w:tcPr>
            <w:tcW w:w="3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Options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 (in</w:t>
              <w:br/>
              <w:t>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Exercise</w:t>
              <w:br/>
              <w:t>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Remaining</w:t>
              <w:br/>
              <w:t>Contractual</w:t>
              <w:br/>
              <w:t>Term</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Aggregate</w:t>
              <w:br/>
              <w:t>Intrinsic</w:t>
              <w:br/>
              <w:t>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at January 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7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7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7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Forfeited or expired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7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at March 31,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11,762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202,398</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Vested or expected to vest at March 31,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13,865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233,005</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7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Exercisable at March 31,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10,541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223,864</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7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7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7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at January 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7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7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7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Forfeited or expired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7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at March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14,102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136,256</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7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Vested or expected to vest at March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9,823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97,226</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Exercisable at March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9,823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97,226</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A summary of the status of the Company’s nonvested shares as of March 31, 2026 and 2025, and changes during the three months ended March 31, 2026, is presented below: </w:t>
      </w:r>
    </w:p>
    <w:p>
      <w:pPr>
        <w:pStyle w:val="TextBody"/>
        <w:bidi w:val="0"/>
        <w:jc w:val="left"/>
        <w:rPr/>
      </w:pPr>
      <w:r>
        <w:rPr/>
        <w:t> </w:t>
      </w:r>
    </w:p>
    <w:tbl>
      <w:tblPr>
        <w:tblW w:w="4996" w:type="dxa"/>
        <w:jc w:val="left"/>
        <w:tblInd w:w="0" w:type="dxa"/>
        <w:tblLayout w:type="fixed"/>
        <w:tblCellMar>
          <w:top w:w="28" w:type="dxa"/>
          <w:left w:w="28" w:type="dxa"/>
          <w:bottom w:w="28" w:type="dxa"/>
          <w:right w:w="28" w:type="dxa"/>
        </w:tblCellMar>
      </w:tblPr>
      <w:tblGrid>
        <w:gridCol w:w="2521"/>
        <w:gridCol w:w="146"/>
        <w:gridCol w:w="180"/>
        <w:gridCol w:w="705"/>
        <w:gridCol w:w="146"/>
        <w:gridCol w:w="146"/>
        <w:gridCol w:w="180"/>
        <w:gridCol w:w="781"/>
        <w:gridCol w:w="191"/>
      </w:tblGrid>
      <w:tr>
        <w:trPr/>
        <w:tc>
          <w:tcPr>
            <w:tcW w:w="25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5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Nonvested 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 (in</w:t>
              <w:br/>
              <w:t>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Grant-Date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Nonvested at January 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Forfeited or expired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5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Nonvested at March 31,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0.76</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Nonvested at January 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4,268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1.36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Forfeited or expired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Nonvested at March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3,815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0.68</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For the three months ended March 31, 2026 and 2025, there was $325 and $1,711 of total unrecognized compensation cost related to nonvested share-based compensation arrangement granted under the Stock Plan, respectively. The total value of shares vested during the three months ended March 31, 2026 and 2025 was $314 and $467, respectively.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Included in the tables above are 4.4 million shares of performance-based option shares and 2.2 million shares of performance-based option shares issued by the Company during 2023 and 2021, respectively. These shares vest based upon performance conditions including achievement of specific revenue and EBITDA targets. During the three months ended March 31, 2026 and 2025, 6.05 million and 5.2 million shares, respectively, vested or were expected to vest from the performance-based shares based on achievement of the specified performance conditions, respectively. The total fair value of the performance shares vested or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Slide Insurance Holdings, Inc.</w:t>
      </w:r>
    </w:p>
    <w:p>
      <w:pPr>
        <w:pStyle w:val="TextBody"/>
        <w:bidi w:val="0"/>
        <w:jc w:val="center"/>
        <w:rPr>
          <w:rFonts w:ascii="Times New Roman" w:hAnsi="Times New Roman"/>
          <w:b/>
          <w:color w:val="000000"/>
          <w:sz w:val="20"/>
        </w:rPr>
      </w:pPr>
      <w:r>
        <w:rPr>
          <w:rFonts w:ascii="Times New Roman" w:hAnsi="Times New Roman"/>
          <w:b/>
          <w:color w:val="000000"/>
          <w:sz w:val="20"/>
        </w:rPr>
        <w:t>Notes to Unaudited Condensed Consolidated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(Dollar amounts in thousands, except share and per share amounts, unless otherwise stated)</w:t>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expected to vest during the months ended March 31, 2026 and 2025 were $4,255 and $1,067, respectively. As of March 31, 2026 and 2025, 550 thousand and 1.4 million of the performance-based options were unvested and had not yet had performance conditions met, with a total value of $485 and $1,067, respectively. The Company has recorded compensation expense, included in general and administrative expense in the Consolidated Statements of Operations and additional paid-in capital in the Consolidated Balance Sheets. The Company believes that it is probable this amount will be paid out, based upon Company performance. </w:t>
      </w:r>
    </w:p>
    <w:p>
      <w:pPr>
        <w:pStyle w:val="TextBody"/>
        <w:bidi w:val="0"/>
        <w:spacing w:before="360" w:after="283"/>
        <w:jc w:val="left"/>
        <w:rPr>
          <w:rFonts w:ascii="Times New Roman" w:hAnsi="Times New Roman"/>
          <w:sz w:val="20"/>
        </w:rPr>
      </w:pPr>
      <w:r>
        <w:rPr>
          <w:rFonts w:ascii="Times New Roman" w:hAnsi="Times New Roman"/>
          <w:b/>
          <w:i/>
          <w:color w:val="000000"/>
          <w:sz w:val="20"/>
        </w:rPr>
        <w:t>Restricted Stock Awards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From time to time, the Company has granted and may grant restricted stock awards to certain executive officers, other employees and nonemployee directors in connection with their service to the Company. The terms of the Company’s outstanding restricted stock grant include service conditions. The determination of fair value with respect to the awards containing only service-based conditions is based on the option pricing method of determining the fair value of the Company’s stock on the grant date. Information with respect to the activity of unvested restricted stock awards during the three months ended March 31, 2026 and March 31, 2025 is as follows: </w:t>
      </w:r>
    </w:p>
    <w:p>
      <w:pPr>
        <w:pStyle w:val="TextBody"/>
        <w:bidi w:val="0"/>
        <w:jc w:val="left"/>
        <w:rPr/>
      </w:pPr>
      <w:r>
        <w:rPr/>
        <w:t> </w:t>
      </w:r>
    </w:p>
    <w:tbl>
      <w:tblPr>
        <w:tblW w:w="4996" w:type="dxa"/>
        <w:jc w:val="left"/>
        <w:tblInd w:w="0" w:type="dxa"/>
        <w:tblLayout w:type="fixed"/>
        <w:tblCellMar>
          <w:top w:w="28" w:type="dxa"/>
          <w:left w:w="28" w:type="dxa"/>
          <w:bottom w:w="28" w:type="dxa"/>
          <w:right w:w="28" w:type="dxa"/>
        </w:tblCellMar>
      </w:tblPr>
      <w:tblGrid>
        <w:gridCol w:w="2521"/>
        <w:gridCol w:w="146"/>
        <w:gridCol w:w="180"/>
        <w:gridCol w:w="705"/>
        <w:gridCol w:w="146"/>
        <w:gridCol w:w="146"/>
        <w:gridCol w:w="195"/>
        <w:gridCol w:w="766"/>
        <w:gridCol w:w="191"/>
      </w:tblGrid>
      <w:tr>
        <w:trPr/>
        <w:tc>
          <w:tcPr>
            <w:tcW w:w="25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5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Nonvested Restricted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 (in</w:t>
              <w:br/>
              <w:t>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Grant-Date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Nonvested at January 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Forfeited or expired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5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Nonvested at March 31,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12.76</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Nonvested at January 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Forfeited or expired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Nonvested at March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Company recognized compensation expense related to restricted stock, which is included in general and administrative personnel expenses, of $2,950 for the three months ended March 31, 2026, and $2,711 for the three months ended March 31, 2025, respectively. At March 31, 2026 and March 31, 2025, there was approximately $14,213 and $19,433, respectively, of total unrecognized compensation expense related to nonvested restricted stock arrangements. The Company expects to recognize the remaining compensation expense over a weighted-average period of 1.1 years.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 summarizes information about deferred tax benefits recognized and tax benefits realized related to stock-based compensation for the three months ended March 31, 2026 and 2025:</w:t>
      </w:r>
    </w:p>
    <w:p>
      <w:pPr>
        <w:pStyle w:val="TextBody"/>
        <w:bidi w:val="0"/>
        <w:jc w:val="left"/>
        <w:rPr/>
      </w:pPr>
      <w:r>
        <w:rPr/>
        <w:t> </w:t>
      </w:r>
    </w:p>
    <w:tbl>
      <w:tblPr>
        <w:tblW w:w="5644" w:type="dxa"/>
        <w:jc w:val="left"/>
        <w:tblInd w:w="0" w:type="dxa"/>
        <w:tblLayout w:type="fixed"/>
        <w:tblCellMar>
          <w:top w:w="28" w:type="dxa"/>
          <w:left w:w="28" w:type="dxa"/>
          <w:bottom w:w="28" w:type="dxa"/>
          <w:right w:w="28" w:type="dxa"/>
        </w:tblCellMar>
      </w:tblPr>
      <w:tblGrid>
        <w:gridCol w:w="3136"/>
        <w:gridCol w:w="146"/>
        <w:gridCol w:w="211"/>
        <w:gridCol w:w="781"/>
        <w:gridCol w:w="146"/>
        <w:gridCol w:w="146"/>
        <w:gridCol w:w="211"/>
        <w:gridCol w:w="676"/>
        <w:gridCol w:w="191"/>
      </w:tblGrid>
      <w:tr>
        <w:trPr/>
        <w:tc>
          <w:tcPr>
            <w:tcW w:w="31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1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March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tax benefits recognized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Tax benefits realized for vested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Fair value of vested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208,234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44,669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18.</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 xml:space="preserve">Variable Interest Entities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entered into a reinsurance captive arrangement with White Rock Insurance (SAC) Ltd. acting in respect of “Separate Account T104—Slide,” a VIE in the normal course of business and consolidated the VIE since the Company is the primary beneficiary. See “Note 1 (Nature of Business and Significant Accounting Policies — Consolidation Policy)” for more information about the methodology and significant inputs used to consider whether to consolidate a VIE.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Slide Insurance Holdings, Inc.</w:t>
      </w:r>
    </w:p>
    <w:p>
      <w:pPr>
        <w:pStyle w:val="TextBody"/>
        <w:bidi w:val="0"/>
        <w:jc w:val="center"/>
        <w:rPr>
          <w:rFonts w:ascii="Times New Roman" w:hAnsi="Times New Roman"/>
          <w:b/>
          <w:color w:val="000000"/>
          <w:sz w:val="20"/>
        </w:rPr>
      </w:pPr>
      <w:r>
        <w:rPr>
          <w:rFonts w:ascii="Times New Roman" w:hAnsi="Times New Roman"/>
          <w:b/>
          <w:color w:val="000000"/>
          <w:sz w:val="20"/>
        </w:rPr>
        <w:t>Notes to Unaudited Condensed Consolidated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(Dollar amounts in thousands, except share and per share amounts, unless otherwise stated)</w:t>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2024, SIC entered into reinsurance transactions whereby the VIE provided quota share, per risk, and catastrophe reinsurance protection to the Insurance Entities for the period of June 1, 2024 through May 31, 2025.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2025, SIC entered into reinsurance transactions whereby the VIE provided quota share, per risk and catastrophe reinsurance protection to the Insurance Entities for the period of June 1, 2025 through May 31, 2026.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following table presents, on a consolidated basis, the balance sheet classification and exposure of restricted cash held in a reinsurance trust account, which can be used only to settle specific reinsurance obligations of the VIE as of the dates presented. </w:t>
      </w:r>
    </w:p>
    <w:p>
      <w:pPr>
        <w:pStyle w:val="TextBody"/>
        <w:bidi w:val="0"/>
        <w:jc w:val="left"/>
        <w:rPr/>
      </w:pPr>
      <w:r>
        <w:rPr/>
        <w:t> </w:t>
      </w:r>
    </w:p>
    <w:tbl>
      <w:tblPr>
        <w:tblW w:w="5807" w:type="dxa"/>
        <w:jc w:val="left"/>
        <w:tblInd w:w="0" w:type="dxa"/>
        <w:tblLayout w:type="fixed"/>
        <w:tblCellMar>
          <w:top w:w="28" w:type="dxa"/>
          <w:left w:w="28" w:type="dxa"/>
          <w:bottom w:w="28" w:type="dxa"/>
          <w:right w:w="28" w:type="dxa"/>
        </w:tblCellMar>
      </w:tblPr>
      <w:tblGrid>
        <w:gridCol w:w="3091"/>
        <w:gridCol w:w="146"/>
        <w:gridCol w:w="211"/>
        <w:gridCol w:w="781"/>
        <w:gridCol w:w="146"/>
        <w:gridCol w:w="146"/>
        <w:gridCol w:w="233"/>
        <w:gridCol w:w="862"/>
        <w:gridCol w:w="191"/>
      </w:tblGrid>
      <w:tr>
        <w:trPr/>
        <w:tc>
          <w:tcPr>
            <w:tcW w:w="30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w:t>
              <w:b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482,050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480,972</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19.</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 xml:space="preserve">Subsequent Events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performed an evaluation of subsequent events through April 30, 2026, the date the consolidated financial statements were issued, and determined there were no recognized or unrecognized subsequent events, other than those listed below, that would require an adjustment or additional disclosure in the consolidated financial statements as of March 31, 2026.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On April 28, 2026, the Board authorized a new stock repurchase program which allows the Company to repurchase, from time to time, up to $100.0 million of common stock through open market repurchases in compliance with Rule 10b-18 under the Exchange Act and/or in privately negotiated transactions at management’s discretion based on market and business conditions, applicable legal requirements and other factors. The authorization is effective immediately, has no time limit, and may be modified, suspended or discontinued at any time. Through April 30, 2026, the Company has repurchased 2,997,980 shares of common stock at a weighted average share price of $17.95 under the new stock repurchase program.</w:t>
      </w:r>
    </w:p>
    <w:p>
      <w:pPr>
        <w:pStyle w:val="TextBody"/>
        <w:bidi w:val="0"/>
        <w:spacing w:before="120" w:after="283"/>
        <w:jc w:val="left"/>
        <w:rPr/>
      </w:pPr>
      <w:r>
        <w:rPr/>
        <w:t> </w:t>
      </w:r>
    </w:p>
    <w:p>
      <w:pPr>
        <w:pStyle w:val="TextBody"/>
        <w:bidi w:val="0"/>
        <w:spacing w:before="120" w:after="283"/>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bookmarkStart w:id="10" w:name="item_2_managements_discussion"/>
      <w:bookmarkEnd w:id="10"/>
      <w:r>
        <w:rPr>
          <w:rFonts w:ascii="Times New Roman" w:hAnsi="Times New Roman"/>
          <w:b/>
          <w:color w:val="000000"/>
          <w:sz w:val="20"/>
        </w:rPr>
        <w:t>Item 2. Management’s Discussion and Analysis of Financial Condition and Results of Operations.</w:t>
      </w:r>
    </w:p>
    <w:p>
      <w:pPr>
        <w:pStyle w:val="TextBody"/>
        <w:bidi w:val="0"/>
        <w:spacing w:before="360" w:after="283"/>
        <w:jc w:val="center"/>
        <w:rPr>
          <w:rFonts w:ascii="Times New Roman" w:hAnsi="Times New Roman"/>
          <w:b/>
          <w:caps/>
          <w:color w:val="000000"/>
          <w:sz w:val="20"/>
        </w:rPr>
      </w:pPr>
      <w:r>
        <w:rPr>
          <w:rFonts w:ascii="Times New Roman" w:hAnsi="Times New Roman"/>
          <w:b/>
          <w:caps/>
          <w:color w:val="000000"/>
          <w:sz w:val="20"/>
        </w:rPr>
        <w:t>Management’s Discussion and Analysis</w:t>
      </w:r>
    </w:p>
    <w:p>
      <w:pPr>
        <w:pStyle w:val="TextBody"/>
        <w:bidi w:val="0"/>
        <w:jc w:val="center"/>
        <w:rPr>
          <w:rFonts w:ascii="Times New Roman" w:hAnsi="Times New Roman"/>
          <w:sz w:val="20"/>
        </w:rPr>
      </w:pPr>
      <w:r>
        <w:rPr>
          <w:rFonts w:ascii="Times New Roman" w:hAnsi="Times New Roman"/>
          <w:b/>
          <w:caps/>
          <w:color w:val="000000"/>
          <w:sz w:val="20"/>
        </w:rPr>
        <w:t>of Financial Condition and Results of Operations</w:t>
      </w:r>
      <w:r>
        <w:rPr>
          <w:rFonts w:ascii="Times New Roman" w:hAnsi="Times New Roman"/>
          <w:caps/>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i/>
          <w:color w:val="000000"/>
          <w:sz w:val="20"/>
        </w:rPr>
        <w:t>The following discussion and analysis of our financial condition and results of operations is intended to help investors understand our business, results of operations, liquidity and capital resources and should be read in conjunction with our consolidated financial statements and related notes appearing elsewhere in this Quarterly Report on Form 10-Q (the "Quarterly Report"). This discussion and analysis contains forward-looking statements that involve risks, uncertainties and assumptions, described under the section titled “Risk Factors” and elsewhere in this Quarterly Report. Our actual results may differ materially from those anticipated in these forward-looking statements as a result of certain factors, including, but not limited to, those which are not within our control. See “Special Note Regarding Forward-Looking Statements.”</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Times New Roman" w:hAnsi="Times New Roman"/>
          <w:b/>
          <w:color w:val="000000"/>
          <w:sz w:val="20"/>
        </w:rPr>
        <w:t>Overview</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Launched in 2021, we are a technology-enabled, fast-growing, coastal specialty insurer. We focus on profitable underwriting of single family, condominium and commercial residential policies in the P&amp;C industry in coastal states along the Atlantic seaboard through our insurance subsidiary, Slide Insurance Company (“SIC”). SIC is licensed in Florida and South Carolina. In February 2025, we acquired an additional insurance subsidiary, Slide Specialty Insurance Company ("Slide Specialty"), which is licensed in New York, New Jersey, Rhode Island and South Carolina. We utilize our differentiated technology and data-driven approach to focus on market opportunities that are underserved by other insurance companies. We acquire policies both from inorganic block acquisitions and subsequent renewals, as well as new business sales through a combination of independent agents and our direct-to-consumer (“DTC”) channel, through which we sell our insurance products directly to end consumers, without the use of retailers, brokers, agents or other intermediaries. We do not depend on any one key product or product line within the coastal specialty homeowners and commercial residential insurance market. We control all aspects of our value chain, including technology, underwriting, actuarial, distribution, claims and risk management which allows us to maximize profitability while maintaining disciplined underwriting standards.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goal is to deliver long-term value for stockholders by focusing on underserved, coastal specialty markets where market capacity is limited and demand for insurance products is high. Coastal specialty market demand for insurance products has increased over the last few years as the larger, national insurance carriers have reduced their underwriting capacity in such markets, creating a unique market opportunity for us to capitalize on the imbalance of supply and demand.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We have one reportable segment, insurance. See the below table for a summary of gross premiums written, policy fees, total revenue, combined ratio, return on equity, and return on tangible equity </w:t>
      </w:r>
      <w:r>
        <w:rPr>
          <w:rFonts w:ascii="Times New Roman" w:hAnsi="Times New Roman"/>
          <w:color w:val="000000"/>
          <w:sz w:val="13"/>
        </w:rPr>
        <w:t>(1)</w:t>
      </w:r>
      <w:r>
        <w:rPr>
          <w:rFonts w:ascii="Times New Roman" w:hAnsi="Times New Roman"/>
          <w:color w:val="000000"/>
          <w:sz w:val="20"/>
        </w:rPr>
        <w:t xml:space="preserve"> for the three months ended March 31, 2026 and 2025 and the year ended December 31, 2025, and the total assets, shareholders' equity and tangible shareholders' equity </w:t>
      </w:r>
      <w:r>
        <w:rPr>
          <w:rFonts w:ascii="Times New Roman" w:hAnsi="Times New Roman"/>
          <w:color w:val="000000"/>
          <w:sz w:val="13"/>
        </w:rPr>
        <w:t>(1</w:t>
      </w:r>
      <w:r>
        <w:rPr>
          <w:rFonts w:ascii="Times New Roman" w:hAnsi="Times New Roman"/>
          <w:color w:val="000000"/>
          <w:sz w:val="15"/>
        </w:rPr>
        <w:t>)</w:t>
      </w:r>
      <w:r>
        <w:rPr>
          <w:rFonts w:ascii="Times New Roman" w:hAnsi="Times New Roman"/>
          <w:color w:val="000000"/>
          <w:sz w:val="20"/>
        </w:rPr>
        <w:t xml:space="preserve"> as of March 31, 2026 and December 31, 2025.</w:t>
      </w:r>
    </w:p>
    <w:p>
      <w:pPr>
        <w:pStyle w:val="TextBody"/>
        <w:bidi w:val="0"/>
        <w:spacing w:before="240" w:after="283"/>
        <w:jc w:val="left"/>
        <w:rPr/>
      </w:pPr>
      <w:r>
        <w:rPr/>
        <w:t> </w:t>
      </w:r>
    </w:p>
    <w:tbl>
      <w:tblPr>
        <w:tblW w:w="9204" w:type="dxa"/>
        <w:jc w:val="left"/>
        <w:tblInd w:w="0" w:type="dxa"/>
        <w:tblLayout w:type="fixed"/>
        <w:tblCellMar>
          <w:top w:w="28" w:type="dxa"/>
          <w:left w:w="28" w:type="dxa"/>
          <w:bottom w:w="28" w:type="dxa"/>
          <w:right w:w="28" w:type="dxa"/>
        </w:tblCellMar>
      </w:tblPr>
      <w:tblGrid>
        <w:gridCol w:w="2791"/>
        <w:gridCol w:w="146"/>
        <w:gridCol w:w="211"/>
        <w:gridCol w:w="781"/>
        <w:gridCol w:w="271"/>
        <w:gridCol w:w="146"/>
        <w:gridCol w:w="211"/>
        <w:gridCol w:w="931"/>
        <w:gridCol w:w="271"/>
        <w:gridCol w:w="146"/>
        <w:gridCol w:w="435"/>
        <w:gridCol w:w="234"/>
        <w:gridCol w:w="234"/>
        <w:gridCol w:w="1496"/>
        <w:gridCol w:w="271"/>
        <w:gridCol w:w="146"/>
        <w:gridCol w:w="146"/>
        <w:gridCol w:w="146"/>
        <w:gridCol w:w="191"/>
      </w:tblGrid>
      <w:tr>
        <w:trPr/>
        <w:tc>
          <w:tcPr>
            <w:tcW w:w="27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49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7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br/>
              <w:t>(in thousands)</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99"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 2025</w:t>
              <w:br/>
              <w:t>(in thousands)</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7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7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premiums written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414,792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278,249</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35"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1,795,516</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Policy fees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3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8,243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389,283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281,593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1,155,901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139,527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92,503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443,958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Combined ratio</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58.9</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3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Return on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3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Return on tangible equity </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3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57.9</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2026</w:t>
              <w:br/>
              <w:t>(in thousands)</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99"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br/>
              <w:t>(in thousands)</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2,882,360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5"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2,918,465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1,113,612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1,113,241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Tangible Shareholders' Equity </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1,110,979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1,110,539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pPr>
      <w:r>
        <w:rPr>
          <w:rFonts w:ascii="Times New Roman" w:hAnsi="Times New Roman"/>
          <w:color w:val="000000"/>
          <w:sz w:val="20"/>
        </w:rPr>
        <w:t>Non-GAAP financial measure. See “</w:t>
      </w:r>
      <w:r>
        <w:rPr>
          <w:rFonts w:ascii="Times New Roman" w:hAnsi="Times New Roman"/>
          <w:i/>
          <w:color w:val="000000"/>
          <w:sz w:val="20"/>
        </w:rPr>
        <w:t>Results of Operations – Non-GAAP Financial Measures</w:t>
      </w:r>
      <w:r>
        <w:rPr>
          <w:color w:val="000000"/>
        </w:rPr>
        <w:t xml:space="preserve">” </w:t>
      </w:r>
      <w:r>
        <w:rPr>
          <w:rFonts w:ascii="Times New Roman" w:hAnsi="Times New Roman"/>
          <w:color w:val="000000"/>
          <w:sz w:val="20"/>
        </w:rPr>
        <w:t>for a reconciliation of tangible shareholder's equity to shareholder's equity and return on tangible equity to return on equity, the most directly comparable GAAP measure.</w:t>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Key Components of Our Results of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Revenue</w:t>
      </w:r>
    </w:p>
    <w:p>
      <w:pPr>
        <w:pStyle w:val="TextBody"/>
        <w:bidi w:val="0"/>
        <w:spacing w:before="120" w:after="283"/>
        <w:jc w:val="left"/>
        <w:rPr>
          <w:rFonts w:ascii="Times New Roman" w:hAnsi="Times New Roman"/>
          <w:sz w:val="20"/>
        </w:rPr>
      </w:pPr>
      <w:r>
        <w:rPr>
          <w:rFonts w:ascii="Times New Roman" w:hAnsi="Times New Roman"/>
          <w:i/>
          <w:color w:val="000000"/>
          <w:sz w:val="20"/>
        </w:rPr>
        <w:t xml:space="preserve">Gross premiums written. </w:t>
      </w:r>
      <w:r>
        <w:rPr>
          <w:rFonts w:ascii="Times New Roman" w:hAnsi="Times New Roman"/>
          <w:color w:val="000000"/>
          <w:sz w:val="20"/>
        </w:rPr>
        <w:t>Gross premiums written represent, with respect to a fiscal period, the sum of assumed premiums written from Citizens policy assumptions (net of opt-outs) plus direct premiums written (premiums from subsequent renewals of such Citizens policies and new and renewal policies written through independent agents and our DTC channel, net of any midterm cancellations), in each case prior to amounts ceded to reinsurers. Gross premiums written in any given fiscal period are affected by: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Amount of premiums assumed from Citizens acquisitions;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Block acquisitions from other third-party insurers;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Renewals of existing policies;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New business submissions and binding of new submissions into effective policies;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Average premium of new and renewal policies;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Premium rates on new and renewal policies.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Q1 2026 we assumed 28,783 policies, representing approximately $67 million in assumed unearned premiums from Citizens. These policies carry no upfront acquisition costs and are captured in our current treaty year reinsurance program.</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believe recent legislative and regulatory changes, improvements in the data that is made available on Citizens policies and rate increases implemented by Citizens making pricing more comparable to what we charge for policies underwritten in other channels make the opportunity to assume policies from Citizens attractive.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Take-out opportunities, however, are subject to a number of market, timing and execution risks, and future take-out opportunities may or may not materialize.</w:t>
      </w:r>
    </w:p>
    <w:p>
      <w:pPr>
        <w:pStyle w:val="TextBody"/>
        <w:bidi w:val="0"/>
        <w:spacing w:before="240" w:after="283"/>
        <w:jc w:val="left"/>
        <w:rPr>
          <w:rFonts w:ascii="Times New Roman" w:hAnsi="Times New Roman"/>
          <w:sz w:val="20"/>
        </w:rPr>
      </w:pPr>
      <w:r>
        <w:rPr>
          <w:rFonts w:ascii="Times New Roman" w:hAnsi="Times New Roman"/>
          <w:i/>
          <w:color w:val="000000"/>
          <w:sz w:val="20"/>
        </w:rPr>
        <w:t xml:space="preserve">Gross premiums earned. </w:t>
      </w:r>
      <w:r>
        <w:rPr>
          <w:rFonts w:ascii="Times New Roman" w:hAnsi="Times New Roman"/>
          <w:color w:val="000000"/>
          <w:sz w:val="20"/>
        </w:rPr>
        <w:t xml:space="preserve">Gross premiums earned represent the portion of our gross premiums written earned during a fiscal period from assumed (including those assumed from Citizens), direct policies written and subsequent renewals of such policies. Gross premiums written associated with assumed policies from Citizens are earned ratably over the remaining term of the policy and gross premiums written associated with voluntary and renewal policies are earned ratably over the term of the policy. All such new and renewal policies currently have a term of 12 months from date of issuance. </w:t>
      </w:r>
    </w:p>
    <w:p>
      <w:pPr>
        <w:pStyle w:val="TextBody"/>
        <w:bidi w:val="0"/>
        <w:spacing w:before="240" w:after="283"/>
        <w:jc w:val="left"/>
        <w:rPr>
          <w:rFonts w:ascii="Times New Roman" w:hAnsi="Times New Roman"/>
          <w:sz w:val="20"/>
        </w:rPr>
      </w:pPr>
      <w:r>
        <w:rPr>
          <w:rFonts w:ascii="Times New Roman" w:hAnsi="Times New Roman"/>
          <w:i/>
          <w:color w:val="000000"/>
          <w:sz w:val="20"/>
        </w:rPr>
        <w:t xml:space="preserve">Ceded premiums earned. </w:t>
      </w:r>
      <w:r>
        <w:rPr>
          <w:rFonts w:ascii="Times New Roman" w:hAnsi="Times New Roman"/>
          <w:color w:val="000000"/>
          <w:sz w:val="20"/>
        </w:rPr>
        <w:t xml:space="preserve">Ceded premiums earned represent the earned portion of our gross premiums written ceded to reinsurers and other costs of our reinsurance during a fiscal period. We recognize the cost of our reinsurance program ratably over the term of the arrangement, which is typically 12 months. Our ceded premiums earned represent costs of reinsurance to cover losses from catastrophes that exceed the retention levels defined by our catastrophe excess of loss reinsurance contracts. The rates we pay for reinsurance are based primarily on policy exposures reflected in gross premiums earned. </w:t>
      </w:r>
    </w:p>
    <w:p>
      <w:pPr>
        <w:pStyle w:val="TextBody"/>
        <w:bidi w:val="0"/>
        <w:spacing w:before="240" w:after="283"/>
        <w:jc w:val="left"/>
        <w:rPr>
          <w:rFonts w:ascii="Times New Roman" w:hAnsi="Times New Roman"/>
          <w:sz w:val="20"/>
        </w:rPr>
      </w:pPr>
      <w:r>
        <w:rPr>
          <w:rFonts w:ascii="Times New Roman" w:hAnsi="Times New Roman"/>
          <w:i/>
          <w:color w:val="000000"/>
          <w:sz w:val="20"/>
        </w:rPr>
        <w:t>Net premiums earned.</w:t>
      </w:r>
      <w:r>
        <w:rPr>
          <w:rFonts w:ascii="Times New Roman" w:hAnsi="Times New Roman"/>
          <w:color w:val="000000"/>
          <w:sz w:val="20"/>
        </w:rPr>
        <w:t xml:space="preserve"> Net premiums earned reflect gross premiums earned less ceded premiums earned during the fiscal period. </w:t>
      </w:r>
    </w:p>
    <w:p>
      <w:pPr>
        <w:pStyle w:val="TextBody"/>
        <w:bidi w:val="0"/>
        <w:spacing w:before="240" w:after="283"/>
        <w:jc w:val="left"/>
        <w:rPr>
          <w:rFonts w:ascii="Times New Roman" w:hAnsi="Times New Roman"/>
          <w:sz w:val="20"/>
        </w:rPr>
      </w:pPr>
      <w:r>
        <w:rPr>
          <w:rFonts w:ascii="Times New Roman" w:hAnsi="Times New Roman"/>
          <w:i/>
          <w:color w:val="000000"/>
          <w:sz w:val="20"/>
        </w:rPr>
        <w:t>Net investment income</w:t>
      </w:r>
      <w:r>
        <w:rPr>
          <w:rFonts w:ascii="Times New Roman" w:hAnsi="Times New Roman"/>
          <w:color w:val="000000"/>
          <w:sz w:val="20"/>
        </w:rPr>
        <w:t xml:space="preserve">. Net investment income represents interest earned from cash, cash equivalents, restricted cash, fixed-maturity securities, money market accounts and other investments and the realized gains or losses from the sale of investments. Factors affecting net investment income include the size of our investment portfolio and the yield generated by the underlying investments in our investment portfolio.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i/>
          <w:color w:val="000000"/>
          <w:sz w:val="20"/>
        </w:rPr>
        <w:t xml:space="preserve">Policy fees. </w:t>
      </w:r>
      <w:r>
        <w:rPr>
          <w:rFonts w:ascii="Times New Roman" w:hAnsi="Times New Roman"/>
          <w:color w:val="000000"/>
          <w:sz w:val="20"/>
        </w:rPr>
        <w:t>Florida law allows insurers to charge policyholders a $25 policy fee on each policy written. Policy fees represent such upfront policy fees. These fees are not subject to refund, and accordingly we recognize policy fees as income immediately when collected in accordance with ASC 606, which coincides with the completion of our service obligation when the policy is issued.</w:t>
      </w:r>
    </w:p>
    <w:p>
      <w:pPr>
        <w:pStyle w:val="TextBody"/>
        <w:bidi w:val="0"/>
        <w:spacing w:before="240" w:after="283"/>
        <w:jc w:val="left"/>
        <w:rPr>
          <w:rFonts w:ascii="Times New Roman" w:hAnsi="Times New Roman"/>
          <w:sz w:val="20"/>
        </w:rPr>
      </w:pPr>
      <w:r>
        <w:rPr>
          <w:rFonts w:ascii="Times New Roman" w:hAnsi="Times New Roman"/>
          <w:i/>
          <w:color w:val="000000"/>
          <w:sz w:val="20"/>
        </w:rPr>
        <w:t xml:space="preserve">Other income. </w:t>
      </w:r>
      <w:r>
        <w:rPr>
          <w:rFonts w:ascii="Times New Roman" w:hAnsi="Times New Roman"/>
          <w:color w:val="000000"/>
          <w:sz w:val="20"/>
        </w:rPr>
        <w:t>Other income represents all pay-plan fees and commission income earned by our retail agency subsidiary that sells on behalf of non-affiliated carriers. We charge pay-plan fees to policyholders that pay their premium in more than one installment and record the fees as income when collected.</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Expenses</w:t>
      </w:r>
    </w:p>
    <w:p>
      <w:pPr>
        <w:pStyle w:val="TextBody"/>
        <w:bidi w:val="0"/>
        <w:spacing w:before="120" w:after="283"/>
        <w:jc w:val="left"/>
        <w:rPr>
          <w:rFonts w:ascii="Times New Roman" w:hAnsi="Times New Roman"/>
          <w:sz w:val="20"/>
        </w:rPr>
      </w:pPr>
      <w:r>
        <w:rPr>
          <w:rFonts w:ascii="Times New Roman" w:hAnsi="Times New Roman"/>
          <w:i/>
          <w:color w:val="000000"/>
          <w:sz w:val="20"/>
        </w:rPr>
        <w:t xml:space="preserve">Losses and loss adjustment expenses incurred, net. </w:t>
      </w:r>
      <w:r>
        <w:rPr>
          <w:rFonts w:ascii="Times New Roman" w:hAnsi="Times New Roman"/>
          <w:color w:val="000000"/>
          <w:sz w:val="20"/>
        </w:rPr>
        <w:t>Losses and loss adjustment expenses incurred, net reflect losses paid, expenses paid to resolve claims, such as fees paid to adjusters, attorneys and investigators, and changes in our reserves for unpaid losses and loss adjustment expenses incurred, net during the fiscal period, in each case net of losses ceded to reinsurers. Our reserves for unpaid losses and loss adjustment expenses incurred, net represent the estimated ultimate cost of resolving all reported claims plus all losses we incurred related to insured events that we assume have occurred as of the reporting date, but that policyholders have not yet reported to us (which are commonly referred to as “incurred but not reported,” or “IBNR”). We estimate our reserves for unpaid losses using individual case-based estimates for reported claims and actuarial estimates for IBNR losses. We continually review and adjust our estimated losses as necessary based on industry development trends, our evolving claims experience and new information obtained. If our unpaid losses and loss adjustment expenses incurred, net are considered deficient or redundant, we increase or decrease the liability in the period in which we identify the difference and reflect the change in our current period results of operations.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general, our losses and loss adjustment expense reserves (“LAE”) are affected by: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occurrence, frequency and severity of claims associated with the particular types of insurance contracts that we write;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reinsurance agreements we have in place at the time of a loss;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mix of business written by us;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the legal or regulatory environment related to the business we write;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trends in legal defense costs;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inflation in the cost of claims including inflation related to wages, medical costs and building materials.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Losses and LAE are based on actual paid losses and expenses, as well as an actuarial analysis of the estimated losses, including losses incurred during the period and changes in estimates from prior periods. Losses and LAE may be paid out over a period of years.</w:t>
      </w:r>
    </w:p>
    <w:p>
      <w:pPr>
        <w:pStyle w:val="TextBody"/>
        <w:bidi w:val="0"/>
        <w:spacing w:before="240" w:after="283"/>
        <w:jc w:val="left"/>
        <w:rPr>
          <w:rFonts w:ascii="Times New Roman" w:hAnsi="Times New Roman"/>
          <w:sz w:val="20"/>
        </w:rPr>
      </w:pPr>
      <w:r>
        <w:rPr>
          <w:rFonts w:ascii="Times New Roman" w:hAnsi="Times New Roman"/>
          <w:i/>
          <w:color w:val="000000"/>
          <w:sz w:val="20"/>
        </w:rPr>
        <w:t xml:space="preserve">Policy acquisition and other underwriting expenses. </w:t>
      </w:r>
      <w:r>
        <w:rPr>
          <w:rFonts w:ascii="Times New Roman" w:hAnsi="Times New Roman"/>
          <w:color w:val="000000"/>
          <w:sz w:val="20"/>
        </w:rPr>
        <w:t>Policy acquisition and other underwriting expenses consist of the following items: (i) commissions paid to outside agents at the time of policy issuance, (ii) premium taxes and (iii) inspection fees. We recognize policy acquisition and other underwriting expenses ratably over the term of the underlying policy. Until renewed, policies assumed from Citizens have no associated policy acquisition and other underwriting expenses.</w:t>
      </w:r>
    </w:p>
    <w:p>
      <w:pPr>
        <w:pStyle w:val="TextBody"/>
        <w:bidi w:val="0"/>
        <w:spacing w:before="240" w:after="283"/>
        <w:jc w:val="left"/>
        <w:rPr>
          <w:rFonts w:ascii="Times New Roman" w:hAnsi="Times New Roman"/>
          <w:sz w:val="20"/>
        </w:rPr>
      </w:pPr>
      <w:r>
        <w:rPr>
          <w:rFonts w:ascii="Times New Roman" w:hAnsi="Times New Roman"/>
          <w:i/>
          <w:color w:val="000000"/>
          <w:sz w:val="20"/>
        </w:rPr>
        <w:t xml:space="preserve">General and administrative expenses. </w:t>
      </w:r>
      <w:r>
        <w:rPr>
          <w:rFonts w:ascii="Times New Roman" w:hAnsi="Times New Roman"/>
          <w:color w:val="000000"/>
          <w:sz w:val="20"/>
        </w:rPr>
        <w:t>General and administrative expenses include compensation and related benefits, professional fees, office lease and related expenses, information system expenses, corporate insurance, and other general and administrative costs.</w:t>
      </w:r>
    </w:p>
    <w:p>
      <w:pPr>
        <w:pStyle w:val="TextBody"/>
        <w:bidi w:val="0"/>
        <w:spacing w:before="240" w:after="283"/>
        <w:jc w:val="left"/>
        <w:rPr>
          <w:rFonts w:ascii="Times New Roman" w:hAnsi="Times New Roman"/>
          <w:sz w:val="20"/>
        </w:rPr>
      </w:pPr>
      <w:r>
        <w:rPr>
          <w:rFonts w:ascii="Times New Roman" w:hAnsi="Times New Roman"/>
          <w:i/>
          <w:color w:val="000000"/>
          <w:sz w:val="20"/>
        </w:rPr>
        <w:t>Interest expense</w:t>
      </w:r>
      <w:r>
        <w:rPr>
          <w:rFonts w:ascii="Times New Roman" w:hAnsi="Times New Roman"/>
          <w:color w:val="000000"/>
          <w:sz w:val="20"/>
        </w:rPr>
        <w:t>. Interest expense consists of interest paid on our commercial loans and Credit Facility (as defined below), amortization of debt issuance costs, net settlements of interest rate swaps, and changes in market value of interest rate swaps.</w:t>
      </w:r>
    </w:p>
    <w:p>
      <w:pPr>
        <w:pStyle w:val="TextBody"/>
        <w:bidi w:val="0"/>
        <w:spacing w:before="240" w:after="283"/>
        <w:jc w:val="left"/>
        <w:rPr>
          <w:rFonts w:ascii="Times New Roman" w:hAnsi="Times New Roman"/>
          <w:sz w:val="20"/>
        </w:rPr>
      </w:pPr>
      <w:r>
        <w:rPr>
          <w:rFonts w:ascii="Times New Roman" w:hAnsi="Times New Roman"/>
          <w:i/>
          <w:color w:val="000000"/>
          <w:sz w:val="20"/>
        </w:rPr>
        <w:t>Depreciation expense</w:t>
      </w:r>
      <w:r>
        <w:rPr>
          <w:rFonts w:ascii="Times New Roman" w:hAnsi="Times New Roman"/>
          <w:color w:val="000000"/>
          <w:sz w:val="20"/>
        </w:rPr>
        <w:t>. Depreciation expense includes depreciation of property and equipment, including software developed for internal use.</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i/>
          <w:color w:val="000000"/>
          <w:sz w:val="20"/>
        </w:rPr>
        <w:t>Amortization expense</w:t>
      </w:r>
      <w:r>
        <w:rPr>
          <w:rFonts w:ascii="Times New Roman" w:hAnsi="Times New Roman"/>
          <w:color w:val="000000"/>
          <w:sz w:val="20"/>
        </w:rPr>
        <w:t>. Amortization expense includes amortization of renewal rights and other intangible assets.</w:t>
      </w:r>
    </w:p>
    <w:p>
      <w:pPr>
        <w:pStyle w:val="TextBody"/>
        <w:bidi w:val="0"/>
        <w:spacing w:before="240" w:after="283"/>
        <w:jc w:val="left"/>
        <w:rPr>
          <w:rFonts w:ascii="Times New Roman" w:hAnsi="Times New Roman"/>
          <w:sz w:val="20"/>
        </w:rPr>
      </w:pPr>
      <w:r>
        <w:rPr>
          <w:rFonts w:ascii="Times New Roman" w:hAnsi="Times New Roman"/>
          <w:i/>
          <w:color w:val="000000"/>
          <w:sz w:val="20"/>
        </w:rPr>
        <w:t xml:space="preserve">Other operating expense. </w:t>
      </w:r>
      <w:r>
        <w:rPr>
          <w:rFonts w:ascii="Times New Roman" w:hAnsi="Times New Roman"/>
          <w:color w:val="000000"/>
          <w:sz w:val="20"/>
        </w:rPr>
        <w:t>Other operating expense includes other miscellaneous expenses.</w:t>
      </w:r>
    </w:p>
    <w:p>
      <w:pPr>
        <w:pStyle w:val="TextBody"/>
        <w:bidi w:val="0"/>
        <w:spacing w:before="240" w:after="283"/>
        <w:jc w:val="left"/>
        <w:rPr>
          <w:rFonts w:ascii="Times New Roman" w:hAnsi="Times New Roman"/>
          <w:sz w:val="20"/>
        </w:rPr>
      </w:pPr>
      <w:r>
        <w:rPr>
          <w:rFonts w:ascii="Times New Roman" w:hAnsi="Times New Roman"/>
          <w:i/>
          <w:color w:val="000000"/>
          <w:sz w:val="20"/>
        </w:rPr>
        <w:t>Income tax expense</w:t>
      </w:r>
      <w:r>
        <w:rPr>
          <w:rFonts w:ascii="Times New Roman" w:hAnsi="Times New Roman"/>
          <w:color w:val="000000"/>
          <w:sz w:val="20"/>
        </w:rPr>
        <w:t>. Income tax expense generally consists of income taxes payable by our subsidiaries that are taxed as corporations. We were incorporated as a corporation in the state of Delaware on March 2, 2021. As a corporation, we are subject to typical corporate U.S. federal and state income tax rates which we expect to result in a statutory tax rate of approximately 25% under current tax law.</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Key Metrics &amp; Ratios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discuss certain key financial and operating metrics, described below, which provide useful information about our business and the operational factors underlying our financial performance.</w:t>
      </w:r>
    </w:p>
    <w:p>
      <w:pPr>
        <w:pStyle w:val="TextBody"/>
        <w:bidi w:val="0"/>
        <w:spacing w:before="240" w:after="283"/>
        <w:jc w:val="left"/>
        <w:rPr>
          <w:rFonts w:ascii="Times New Roman" w:hAnsi="Times New Roman"/>
          <w:sz w:val="20"/>
        </w:rPr>
      </w:pPr>
      <w:r>
        <w:rPr>
          <w:rFonts w:ascii="Times New Roman" w:hAnsi="Times New Roman"/>
          <w:i/>
          <w:color w:val="000000"/>
          <w:sz w:val="20"/>
        </w:rPr>
        <w:t>Loss ratio</w:t>
      </w:r>
      <w:r>
        <w:rPr>
          <w:rFonts w:ascii="Times New Roman" w:hAnsi="Times New Roman"/>
          <w:color w:val="000000"/>
          <w:sz w:val="20"/>
        </w:rPr>
        <w:t>, expressed as a percentage, is the ratio of losses and loss adjustment expenses incurred, net to net premiums earned.</w:t>
      </w:r>
    </w:p>
    <w:p>
      <w:pPr>
        <w:pStyle w:val="TextBody"/>
        <w:bidi w:val="0"/>
        <w:spacing w:before="240" w:after="283"/>
        <w:jc w:val="left"/>
        <w:rPr>
          <w:rFonts w:ascii="Times New Roman" w:hAnsi="Times New Roman"/>
          <w:sz w:val="20"/>
        </w:rPr>
      </w:pPr>
      <w:r>
        <w:rPr>
          <w:rFonts w:ascii="Times New Roman" w:hAnsi="Times New Roman"/>
          <w:i/>
          <w:color w:val="000000"/>
          <w:sz w:val="20"/>
        </w:rPr>
        <w:t>Policy acquisition expense ratio,</w:t>
      </w:r>
      <w:r>
        <w:rPr>
          <w:rFonts w:ascii="Times New Roman" w:hAnsi="Times New Roman"/>
          <w:color w:val="000000"/>
          <w:sz w:val="20"/>
        </w:rPr>
        <w:t xml:space="preserve"> expressed as a percentage, is the ratio of policy acquisition expenses and other underwriting expenses to net premiums earned</w:t>
      </w:r>
      <w:r>
        <w:rPr>
          <w:rFonts w:ascii="Times New Roman" w:hAnsi="Times New Roman"/>
          <w:i/>
          <w:color w:val="000000"/>
          <w:sz w:val="20"/>
        </w:rPr>
        <w:t>.</w:t>
      </w:r>
    </w:p>
    <w:p>
      <w:pPr>
        <w:pStyle w:val="TextBody"/>
        <w:bidi w:val="0"/>
        <w:spacing w:before="240" w:after="283"/>
        <w:jc w:val="left"/>
        <w:rPr>
          <w:rFonts w:ascii="Times New Roman" w:hAnsi="Times New Roman"/>
          <w:sz w:val="20"/>
        </w:rPr>
      </w:pPr>
      <w:r>
        <w:rPr>
          <w:rFonts w:ascii="Times New Roman" w:hAnsi="Times New Roman"/>
          <w:i/>
          <w:color w:val="000000"/>
          <w:sz w:val="20"/>
        </w:rPr>
        <w:t>Expense ratio</w:t>
      </w:r>
      <w:r>
        <w:rPr>
          <w:rFonts w:ascii="Times New Roman" w:hAnsi="Times New Roman"/>
          <w:color w:val="000000"/>
          <w:sz w:val="20"/>
        </w:rPr>
        <w:t>, expressed as a percentage, is the ratio of policy acquisition and other underwriting expenses, general and administrative expenses, and other operating expense to net premiums earned.</w:t>
      </w:r>
    </w:p>
    <w:p>
      <w:pPr>
        <w:pStyle w:val="TextBody"/>
        <w:bidi w:val="0"/>
        <w:spacing w:before="240" w:after="283"/>
        <w:jc w:val="left"/>
        <w:rPr>
          <w:rFonts w:ascii="Times New Roman" w:hAnsi="Times New Roman"/>
          <w:sz w:val="20"/>
        </w:rPr>
      </w:pPr>
      <w:r>
        <w:rPr>
          <w:rFonts w:ascii="Times New Roman" w:hAnsi="Times New Roman"/>
          <w:i/>
          <w:color w:val="000000"/>
          <w:sz w:val="20"/>
        </w:rPr>
        <w:t xml:space="preserve">Combined ratio </w:t>
      </w:r>
      <w:r>
        <w:rPr>
          <w:rFonts w:ascii="Times New Roman" w:hAnsi="Times New Roman"/>
          <w:color w:val="000000"/>
          <w:sz w:val="20"/>
        </w:rPr>
        <w:t>is the sum of the loss ratio and the expense ratio. A combined ratio under 100% indicates an underwriting profit. A combined ratio over 100% indicates an underwriting loss.</w:t>
      </w:r>
    </w:p>
    <w:p>
      <w:pPr>
        <w:pStyle w:val="TextBody"/>
        <w:bidi w:val="0"/>
        <w:spacing w:before="240" w:after="283"/>
        <w:jc w:val="left"/>
        <w:rPr>
          <w:rFonts w:ascii="Times New Roman" w:hAnsi="Times New Roman"/>
          <w:sz w:val="20"/>
        </w:rPr>
      </w:pPr>
      <w:r>
        <w:rPr>
          <w:rFonts w:ascii="Times New Roman" w:hAnsi="Times New Roman"/>
          <w:i/>
          <w:color w:val="000000"/>
          <w:sz w:val="20"/>
        </w:rPr>
        <w:t xml:space="preserve">Debt to capitalization ratio </w:t>
      </w:r>
      <w:r>
        <w:rPr>
          <w:rFonts w:ascii="Times New Roman" w:hAnsi="Times New Roman"/>
          <w:color w:val="000000"/>
          <w:sz w:val="20"/>
        </w:rPr>
        <w:t>is the ratio, expressed as a percentage, of total outstanding debt to total capitalization.</w:t>
      </w:r>
    </w:p>
    <w:p>
      <w:pPr>
        <w:pStyle w:val="TextBody"/>
        <w:bidi w:val="0"/>
        <w:spacing w:before="240" w:after="283"/>
        <w:jc w:val="left"/>
        <w:rPr>
          <w:rFonts w:ascii="Times New Roman" w:hAnsi="Times New Roman"/>
          <w:sz w:val="20"/>
        </w:rPr>
      </w:pPr>
      <w:r>
        <w:rPr>
          <w:rFonts w:ascii="Times New Roman" w:hAnsi="Times New Roman"/>
          <w:i/>
          <w:color w:val="000000"/>
          <w:sz w:val="20"/>
        </w:rPr>
        <w:t xml:space="preserve">Return on equity </w:t>
      </w:r>
      <w:r>
        <w:rPr>
          <w:rFonts w:ascii="Times New Roman" w:hAnsi="Times New Roman"/>
          <w:color w:val="000000"/>
          <w:sz w:val="20"/>
        </w:rPr>
        <w:t>represents net income expressed on an annualized basis as a percentage of average beginning and ending shareholders’ equity during the period.</w:t>
      </w:r>
    </w:p>
    <w:p>
      <w:pPr>
        <w:pStyle w:val="TextBody"/>
        <w:bidi w:val="0"/>
        <w:spacing w:before="240" w:after="283"/>
        <w:jc w:val="left"/>
        <w:rPr>
          <w:rFonts w:ascii="Times New Roman" w:hAnsi="Times New Roman"/>
          <w:sz w:val="20"/>
        </w:rPr>
      </w:pPr>
      <w:r>
        <w:rPr>
          <w:rFonts w:ascii="Times New Roman" w:hAnsi="Times New Roman"/>
          <w:i/>
          <w:color w:val="000000"/>
          <w:sz w:val="20"/>
        </w:rPr>
        <w:t xml:space="preserve">Return on tangible equity </w:t>
      </w:r>
      <w:r>
        <w:rPr>
          <w:rFonts w:ascii="Times New Roman" w:hAnsi="Times New Roman"/>
          <w:color w:val="000000"/>
          <w:sz w:val="20"/>
        </w:rPr>
        <w:t>is a non-GAAP financial measure. We define tangible shareholders’ equity as shareholders’ equity less goodwill and other intangible assets. We define return on tangible equity as net income expressed on an annualized basis as a percentage of average beginning and ending tangible shareholders’ equity during the period. We regularly evaluate acquisition opportunities and have historically made acquisitions that affect shareholders’ equity. We use return on tangible equity as an internal performance measure in the management of our operations because we believe it gives our management and other users of our financial information useful insight into our results of operations and our underlying business performance. “See “</w:t>
      </w:r>
      <w:r>
        <w:rPr>
          <w:rFonts w:ascii="Times New Roman" w:hAnsi="Times New Roman"/>
          <w:i/>
          <w:color w:val="000000"/>
          <w:sz w:val="20"/>
        </w:rPr>
        <w:t>Results of Operations - Non-GAAP Financial Measures</w:t>
      </w:r>
      <w:r>
        <w:rPr>
          <w:rFonts w:ascii="Times New Roman" w:hAnsi="Times New Roman"/>
          <w:color w:val="000000"/>
          <w:sz w:val="20"/>
        </w:rPr>
        <w:t>” for a reconciliation of return on tangible equity to return on equity, the most directly comparable GAAP measure.</w:t>
      </w:r>
    </w:p>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Results of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Three Months Ended March 31, 2026 Compared to Three Months Ended March 31, 2025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table summarizes our results of operations for the three months ended March 31, 2026 and 2025: </w:t>
      </w:r>
    </w:p>
    <w:p>
      <w:pPr>
        <w:pStyle w:val="TextBody"/>
        <w:bidi w:val="0"/>
        <w:jc w:val="left"/>
        <w:rPr/>
      </w:pPr>
      <w:r>
        <w:rPr/>
        <w:t> </w:t>
      </w:r>
    </w:p>
    <w:tbl>
      <w:tblPr>
        <w:tblW w:w="10031" w:type="dxa"/>
        <w:jc w:val="left"/>
        <w:tblInd w:w="0" w:type="dxa"/>
        <w:tblLayout w:type="fixed"/>
        <w:tblCellMar>
          <w:top w:w="28" w:type="dxa"/>
          <w:left w:w="28" w:type="dxa"/>
          <w:bottom w:w="28" w:type="dxa"/>
          <w:right w:w="28" w:type="dxa"/>
        </w:tblCellMar>
      </w:tblPr>
      <w:tblGrid>
        <w:gridCol w:w="4291"/>
        <w:gridCol w:w="146"/>
        <w:gridCol w:w="211"/>
        <w:gridCol w:w="841"/>
        <w:gridCol w:w="271"/>
        <w:gridCol w:w="146"/>
        <w:gridCol w:w="211"/>
        <w:gridCol w:w="781"/>
        <w:gridCol w:w="271"/>
        <w:gridCol w:w="146"/>
        <w:gridCol w:w="211"/>
        <w:gridCol w:w="781"/>
        <w:gridCol w:w="331"/>
        <w:gridCol w:w="146"/>
        <w:gridCol w:w="177"/>
        <w:gridCol w:w="694"/>
        <w:gridCol w:w="376"/>
      </w:tblGrid>
      <w:tr>
        <w:trPr/>
        <w:tc>
          <w:tcPr>
            <w:tcW w:w="42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4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18"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br/>
              <w:t>(in thousands)</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premiums written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414,792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278,249</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136,543</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49.1</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unearned premiums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66,194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72,642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(6,448</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premiums earned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480,986</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350,891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130,095</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37.1</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Ceded premiums earned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(115,103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(84,850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(30,253</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35.7</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premiums earned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365,883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266,041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99,842</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37.5</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investment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20,118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13,807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6,311</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45.7</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Policy fees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1,056</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68.8</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692</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481</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228.0</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389,283</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281,593</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107,690</w:t>
            </w:r>
          </w:p>
        </w:tc>
        <w:tc>
          <w:tcPr>
            <w:tcW w:w="3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38.2</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Losses and loss adjustment expenses incurred,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111,073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83,761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27,312</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32.6</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Policy acquisition and other underwriting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44,125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28,572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15,553</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54.4</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46,173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41,378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4,795</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Amortization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1,895</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(1,826</w:t>
            </w:r>
          </w:p>
        </w:tc>
        <w:tc>
          <w:tcPr>
            <w:tcW w:w="3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(96.4</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203,607</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157,686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45,921</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income before income tax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185,676</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123,907</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61,769</w:t>
            </w:r>
          </w:p>
        </w:tc>
        <w:tc>
          <w:tcPr>
            <w:tcW w:w="3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49.9</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46,149</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31,404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14,745</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47.0</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139,527</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92,503</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47,024</w:t>
            </w:r>
          </w:p>
        </w:tc>
        <w:tc>
          <w:tcPr>
            <w:tcW w:w="3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50.8</w:t>
            </w:r>
          </w:p>
        </w:tc>
        <w:tc>
          <w:tcPr>
            <w:tcW w:w="3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ratio</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Expense ratio</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Combined ratio</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Policy acquisition expense ratio</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Debt to capitalization ratio</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Return on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Return on tangible equity</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pBdr>
          <w:bottom w:val="single" w:sz="6" w:space="1" w:color="000000"/>
        </w:pBdr>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pPr>
      <w:r>
        <w:rPr>
          <w:rFonts w:ascii="Times New Roman" w:hAnsi="Times New Roman"/>
          <w:color w:val="000000"/>
          <w:sz w:val="20"/>
        </w:rPr>
        <w:t>Non-GAAP financial measure. See “</w:t>
      </w:r>
      <w:r>
        <w:rPr>
          <w:rFonts w:ascii="Times New Roman" w:hAnsi="Times New Roman"/>
          <w:i/>
          <w:color w:val="000000"/>
          <w:sz w:val="20"/>
        </w:rPr>
        <w:t>Results of Operations – Non-GAAP Financial Measures</w:t>
      </w:r>
      <w:r>
        <w:rPr>
          <w:color w:val="000000"/>
        </w:rPr>
        <w:t xml:space="preserve">” </w:t>
      </w:r>
      <w:r>
        <w:rPr>
          <w:rFonts w:ascii="Times New Roman" w:hAnsi="Times New Roman"/>
          <w:color w:val="000000"/>
          <w:sz w:val="20"/>
        </w:rPr>
        <w:t>for a reconciliation of return on tangible equity to return on equity, the most directly comparable GAAP measure.</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Revenue</w:t>
      </w:r>
    </w:p>
    <w:p>
      <w:pPr>
        <w:pStyle w:val="TextBody"/>
        <w:bidi w:val="0"/>
        <w:spacing w:before="120" w:after="283"/>
        <w:jc w:val="left"/>
        <w:rPr>
          <w:rFonts w:ascii="Times New Roman" w:hAnsi="Times New Roman"/>
          <w:sz w:val="20"/>
        </w:rPr>
      </w:pPr>
      <w:r>
        <w:rPr>
          <w:rFonts w:ascii="Times New Roman" w:hAnsi="Times New Roman"/>
          <w:i/>
          <w:color w:val="000000"/>
          <w:sz w:val="20"/>
        </w:rPr>
        <w:t xml:space="preserve">Gross premiums written. </w:t>
      </w:r>
      <w:r>
        <w:rPr>
          <w:rFonts w:ascii="Times New Roman" w:hAnsi="Times New Roman"/>
          <w:color w:val="000000"/>
          <w:sz w:val="20"/>
        </w:rPr>
        <w:t>Gross premiums written increased to $414.8 million for the three months ended March 31, 2026 from $278.2 million for the three months ended March 31, 2025. The increase in net premiums written was driven by growth of voluntary new business, renewals of previously acquired Citizens policies, and further Citizens acquisitions.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policies in force as of March 31, 2026 were 509,928, compared to 348,029 as of March 31, 2025, a 46.2% increase year-over-year. Our average premium per residential policy decreased from $3,641 at March 31, 2026 compared to $3,933 at March 31, 2025 as a result of a decrease in average premium of Citizens policies assumed. Additionally, our average premium per commercial residential policy was $100,307 at March 31, 2026. </w:t>
      </w:r>
    </w:p>
    <w:p>
      <w:pPr>
        <w:pStyle w:val="TextBody"/>
        <w:bidi w:val="0"/>
        <w:spacing w:before="240" w:after="283"/>
        <w:jc w:val="left"/>
        <w:rPr>
          <w:rFonts w:ascii="Times New Roman" w:hAnsi="Times New Roman"/>
          <w:sz w:val="20"/>
        </w:rPr>
      </w:pPr>
      <w:r>
        <w:rPr>
          <w:rFonts w:ascii="Times New Roman" w:hAnsi="Times New Roman"/>
          <w:i/>
          <w:color w:val="000000"/>
          <w:sz w:val="20"/>
        </w:rPr>
        <w:t>Gross premiums earned</w:t>
      </w:r>
      <w:r>
        <w:rPr>
          <w:rFonts w:ascii="Times New Roman" w:hAnsi="Times New Roman"/>
          <w:color w:val="000000"/>
          <w:sz w:val="20"/>
        </w:rPr>
        <w:t xml:space="preserve">. Gross premiums earned increased to $481.0 million for the three months ended March 31, 2026 from $350.9 million for the three months ended March 31, 2025. The increase was driven primarily by the earnings resulting from strong premium production across the portfolio including prior years Citizen acquisitions. </w:t>
      </w:r>
    </w:p>
    <w:p>
      <w:pPr>
        <w:pStyle w:val="TextBody"/>
        <w:bidi w:val="0"/>
        <w:spacing w:before="240" w:after="283"/>
        <w:jc w:val="left"/>
        <w:rPr>
          <w:rFonts w:ascii="Times New Roman" w:hAnsi="Times New Roman"/>
          <w:sz w:val="20"/>
        </w:rPr>
      </w:pPr>
      <w:r>
        <w:rPr>
          <w:rFonts w:ascii="Times New Roman" w:hAnsi="Times New Roman"/>
          <w:i/>
          <w:color w:val="000000"/>
          <w:sz w:val="20"/>
        </w:rPr>
        <w:t>Ceded premiums earned</w:t>
      </w:r>
      <w:r>
        <w:rPr>
          <w:rFonts w:ascii="Times New Roman" w:hAnsi="Times New Roman"/>
          <w:color w:val="000000"/>
          <w:sz w:val="20"/>
        </w:rPr>
        <w:t xml:space="preserve">. Ceded premiums for the three months ended March 31, 2026 and 2025 were approximately $115.1 million and $84.9 million, respectively, representing 23.9% and 24.2%, respectively, of gross premiums earned. The $30.3 million increase was primarily attributable to increased catastrophe reinsurance costs in line with growth in policies in force.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i/>
          <w:color w:val="000000"/>
          <w:sz w:val="20"/>
        </w:rPr>
        <w:t xml:space="preserve">Net premiums earned. </w:t>
      </w:r>
      <w:r>
        <w:rPr>
          <w:rFonts w:ascii="Times New Roman" w:hAnsi="Times New Roman"/>
          <w:color w:val="000000"/>
          <w:sz w:val="20"/>
        </w:rPr>
        <w:t>Net premiums earned increased to $365.9 million for the three months ended March 31, 2026 from $266.0 million for the three months ended March 31, 2025. The increase in net premiums earned in the comparable periods was primarily attributable to increased assumptions of policies from Citizens and increased renewals of existing policies, offset by higher reinsurance costs directly related to the growth of the portfolio.</w:t>
      </w:r>
    </w:p>
    <w:p>
      <w:pPr>
        <w:pStyle w:val="TextBody"/>
        <w:bidi w:val="0"/>
        <w:spacing w:before="240" w:after="283"/>
        <w:jc w:val="left"/>
        <w:rPr>
          <w:rFonts w:ascii="Times New Roman" w:hAnsi="Times New Roman"/>
          <w:sz w:val="20"/>
        </w:rPr>
      </w:pPr>
      <w:r>
        <w:rPr>
          <w:rFonts w:ascii="Times New Roman" w:hAnsi="Times New Roman"/>
          <w:i/>
          <w:color w:val="000000"/>
          <w:sz w:val="20"/>
        </w:rPr>
        <w:t xml:space="preserve">Net investment income. </w:t>
      </w:r>
      <w:r>
        <w:rPr>
          <w:rFonts w:ascii="Times New Roman" w:hAnsi="Times New Roman"/>
          <w:color w:val="000000"/>
          <w:sz w:val="20"/>
        </w:rPr>
        <w:t xml:space="preserve">Net investment income, inclusive of realized investment gains and losses, increased to $20.1 million for the three months ended March 31, 2026 from $13.8 million for the three months ended March 31, 2025, which was attributable to an increase in investable assets. Our average investable assets increased to $2,345 million for the three months ended March 31, 2026 from $1,307 million for the three months ended March 31, 2025. </w:t>
      </w:r>
    </w:p>
    <w:p>
      <w:pPr>
        <w:pStyle w:val="TextBody"/>
        <w:bidi w:val="0"/>
        <w:spacing w:before="240" w:after="283"/>
        <w:jc w:val="left"/>
        <w:rPr>
          <w:rFonts w:ascii="Times New Roman" w:hAnsi="Times New Roman"/>
          <w:sz w:val="20"/>
        </w:rPr>
      </w:pPr>
      <w:r>
        <w:rPr>
          <w:rFonts w:ascii="Times New Roman" w:hAnsi="Times New Roman"/>
          <w:i/>
          <w:color w:val="000000"/>
          <w:sz w:val="20"/>
        </w:rPr>
        <w:t xml:space="preserve">Policy fees. </w:t>
      </w:r>
      <w:r>
        <w:rPr>
          <w:rFonts w:ascii="Times New Roman" w:hAnsi="Times New Roman"/>
          <w:color w:val="000000"/>
          <w:sz w:val="20"/>
        </w:rPr>
        <w:t xml:space="preserve">Policy fees increased to $2.6 million for the three months ended March 31, 2026 from $1.5 million for the three months ended March 31, 2025. The increase in policy fees was primarily attributable to increased renewals of existing policies. </w:t>
      </w:r>
    </w:p>
    <w:p>
      <w:pPr>
        <w:pStyle w:val="TextBody"/>
        <w:bidi w:val="0"/>
        <w:spacing w:before="240" w:after="283"/>
        <w:jc w:val="left"/>
        <w:rPr>
          <w:rFonts w:ascii="Times New Roman" w:hAnsi="Times New Roman"/>
          <w:sz w:val="20"/>
        </w:rPr>
      </w:pPr>
      <w:r>
        <w:rPr>
          <w:rFonts w:ascii="Times New Roman" w:hAnsi="Times New Roman"/>
          <w:i/>
          <w:color w:val="000000"/>
          <w:sz w:val="20"/>
        </w:rPr>
        <w:t xml:space="preserve">Other income. </w:t>
      </w:r>
      <w:r>
        <w:rPr>
          <w:rFonts w:ascii="Times New Roman" w:hAnsi="Times New Roman"/>
          <w:color w:val="000000"/>
          <w:sz w:val="20"/>
        </w:rPr>
        <w:t xml:space="preserve">Other income increased to $0.7 million for the three months ended March 31, 2026 from $0.2 million for the three months ended March 31, 2025. The increase in other income was primarily attributable to an increase in service fee revenue. </w:t>
      </w:r>
    </w:p>
    <w:p>
      <w:pPr>
        <w:pStyle w:val="TextBody"/>
        <w:bidi w:val="0"/>
        <w:spacing w:before="240" w:after="283"/>
        <w:jc w:val="left"/>
        <w:rPr>
          <w:rFonts w:ascii="Times New Roman" w:hAnsi="Times New Roman"/>
          <w:sz w:val="20"/>
        </w:rPr>
      </w:pPr>
      <w:r>
        <w:rPr>
          <w:rFonts w:ascii="Times New Roman" w:hAnsi="Times New Roman"/>
          <w:i/>
          <w:color w:val="000000"/>
          <w:sz w:val="20"/>
        </w:rPr>
        <w:t xml:space="preserve">Total revenue. </w:t>
      </w:r>
      <w:r>
        <w:rPr>
          <w:rFonts w:ascii="Times New Roman" w:hAnsi="Times New Roman"/>
          <w:color w:val="000000"/>
          <w:sz w:val="20"/>
        </w:rPr>
        <w:t xml:space="preserve">Total revenue increased to $389.3 million for the three months ended March 31, 2026 from $281.6 million for the three months ended March 31, 2025. The increase in total revenue was due primarily to an increase in net premiums earned primarily attributable to increased assumptions of policies from Citizens and increased renewals of existing policies.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Expenses</w:t>
      </w:r>
    </w:p>
    <w:p>
      <w:pPr>
        <w:pStyle w:val="TextBody"/>
        <w:bidi w:val="0"/>
        <w:spacing w:before="120" w:after="283"/>
        <w:jc w:val="left"/>
        <w:rPr>
          <w:rFonts w:ascii="Times New Roman" w:hAnsi="Times New Roman"/>
          <w:sz w:val="20"/>
        </w:rPr>
      </w:pPr>
      <w:r>
        <w:rPr>
          <w:rFonts w:ascii="Times New Roman" w:hAnsi="Times New Roman"/>
          <w:i/>
          <w:color w:val="000000"/>
          <w:sz w:val="20"/>
        </w:rPr>
        <w:t xml:space="preserve">Losses and loss adjustment expenses incurred, net. </w:t>
      </w:r>
      <w:r>
        <w:rPr>
          <w:rFonts w:ascii="Times New Roman" w:hAnsi="Times New Roman"/>
          <w:color w:val="000000"/>
          <w:sz w:val="20"/>
        </w:rPr>
        <w:t xml:space="preserve">Losses and loss adjustment expenses incurred, net increased to $111.1 million for the three months ended March 31, 2026 from $83.8 million for the three months ended March 31, 2025. There were no incurred losses from named storms during the three months ended March 31, 2026 and 2025. The increase in net losses and loss adjustment expenses incurred was primarily driven by the increase in policies in force partially offset by lower catastrophe losses for the period ending March 31, 2026 versus March 31, 2025. </w:t>
      </w:r>
    </w:p>
    <w:p>
      <w:pPr>
        <w:pStyle w:val="TextBody"/>
        <w:bidi w:val="0"/>
        <w:spacing w:before="240" w:after="283"/>
        <w:jc w:val="left"/>
        <w:rPr>
          <w:rFonts w:ascii="Times New Roman" w:hAnsi="Times New Roman"/>
          <w:sz w:val="20"/>
        </w:rPr>
      </w:pPr>
      <w:r>
        <w:rPr>
          <w:rFonts w:ascii="Times New Roman" w:hAnsi="Times New Roman"/>
          <w:i/>
          <w:color w:val="000000"/>
          <w:sz w:val="20"/>
        </w:rPr>
        <w:t xml:space="preserve">Policy acquisition and other underwriting expenses. </w:t>
      </w:r>
      <w:r>
        <w:rPr>
          <w:rFonts w:ascii="Times New Roman" w:hAnsi="Times New Roman"/>
          <w:color w:val="000000"/>
          <w:sz w:val="20"/>
        </w:rPr>
        <w:t>Policy acquisition and other underwriting expenses for the three months ended March 31, 2026 and 2025 were approximately $44.1 million and $28.6 million, respectively, representing 12.6% and 10.7% of net premiums earned, respectively. The increase was primarily attributable to increased renewal policies from prior year assumed Citizens' policies, resulting in increased policy acquisition costs in 2026.</w:t>
      </w:r>
    </w:p>
    <w:p>
      <w:pPr>
        <w:pStyle w:val="TextBody"/>
        <w:bidi w:val="0"/>
        <w:spacing w:before="240" w:after="283"/>
        <w:jc w:val="left"/>
        <w:rPr>
          <w:rFonts w:ascii="Times New Roman" w:hAnsi="Times New Roman"/>
          <w:sz w:val="20"/>
        </w:rPr>
      </w:pPr>
      <w:r>
        <w:rPr>
          <w:rFonts w:ascii="Times New Roman" w:hAnsi="Times New Roman"/>
          <w:i/>
          <w:color w:val="000000"/>
          <w:sz w:val="20"/>
        </w:rPr>
        <w:t xml:space="preserve">General and administrative expenses. </w:t>
      </w:r>
      <w:r>
        <w:rPr>
          <w:rFonts w:ascii="Times New Roman" w:hAnsi="Times New Roman"/>
          <w:color w:val="000000"/>
          <w:sz w:val="20"/>
        </w:rPr>
        <w:t>General and administrative expenses for the three months ended March 31, 2026 and 2025 were approximately $46.2 million and $41.4 million, respectively, representing 12.1% and 15.6%, respectively, of net premiums earned. The increase was due primarily to the growth in staffing to support the Company’s increased policies in force. Personnel count increased to 558 at March 31, 2026 from 392 at March 31, 2025.</w:t>
      </w:r>
    </w:p>
    <w:p>
      <w:pPr>
        <w:pStyle w:val="TextBody"/>
        <w:bidi w:val="0"/>
        <w:spacing w:before="240" w:after="283"/>
        <w:jc w:val="left"/>
        <w:rPr>
          <w:rFonts w:ascii="Times New Roman" w:hAnsi="Times New Roman"/>
          <w:sz w:val="20"/>
        </w:rPr>
      </w:pPr>
      <w:r>
        <w:rPr>
          <w:rFonts w:ascii="Times New Roman" w:hAnsi="Times New Roman"/>
          <w:i/>
          <w:color w:val="000000"/>
          <w:sz w:val="20"/>
        </w:rPr>
        <w:t xml:space="preserve">Interest expense. </w:t>
      </w:r>
      <w:r>
        <w:rPr>
          <w:rFonts w:ascii="Times New Roman" w:hAnsi="Times New Roman"/>
          <w:color w:val="000000"/>
          <w:sz w:val="20"/>
        </w:rPr>
        <w:t xml:space="preserve">Interest expense decreased slightly for the three months ended March 31, 2026 compared to the three months ended March 31, 2025. The decrease was due primarily to the decrease in outstanding debt. </w:t>
      </w:r>
    </w:p>
    <w:p>
      <w:pPr>
        <w:pStyle w:val="TextBody"/>
        <w:bidi w:val="0"/>
        <w:spacing w:before="240" w:after="283"/>
        <w:jc w:val="left"/>
        <w:rPr>
          <w:rFonts w:ascii="Times New Roman" w:hAnsi="Times New Roman"/>
          <w:sz w:val="20"/>
        </w:rPr>
      </w:pPr>
      <w:r>
        <w:rPr>
          <w:rFonts w:ascii="Times New Roman" w:hAnsi="Times New Roman"/>
          <w:i/>
          <w:color w:val="000000"/>
          <w:sz w:val="20"/>
        </w:rPr>
        <w:t xml:space="preserve">Depreciation expense. </w:t>
      </w:r>
      <w:r>
        <w:rPr>
          <w:rFonts w:ascii="Times New Roman" w:hAnsi="Times New Roman"/>
          <w:color w:val="000000"/>
          <w:sz w:val="20"/>
        </w:rPr>
        <w:t xml:space="preserve">Depreciation expense for the three months ended March 31, 2026 and 2025 was $1.3 million and $1.1 million, respectively. The increase was due primarily to depreciation of capitalized costs of internal-use software projects that were put into production in 2025. </w:t>
      </w:r>
    </w:p>
    <w:p>
      <w:pPr>
        <w:pStyle w:val="TextBody"/>
        <w:bidi w:val="0"/>
        <w:spacing w:before="240" w:after="283"/>
        <w:jc w:val="left"/>
        <w:rPr>
          <w:rFonts w:ascii="Times New Roman" w:hAnsi="Times New Roman"/>
          <w:sz w:val="20"/>
        </w:rPr>
      </w:pPr>
      <w:r>
        <w:rPr>
          <w:rFonts w:ascii="Times New Roman" w:hAnsi="Times New Roman"/>
          <w:i/>
          <w:color w:val="000000"/>
          <w:sz w:val="20"/>
        </w:rPr>
        <w:t>Amortization expense</w:t>
      </w:r>
      <w:r>
        <w:rPr>
          <w:rFonts w:ascii="Times New Roman" w:hAnsi="Times New Roman"/>
          <w:color w:val="000000"/>
          <w:sz w:val="20"/>
        </w:rPr>
        <w:t xml:space="preserve">. Amortization expense for the three months ended March 31, 2026 and 2025 was $0.1 million and $1.9 million, respectively, representing 0.0% and 0.7%, respectively, of net premiums earned. The decrease was due primarily to intangible assets being fully amortized at the end of 2025. </w:t>
      </w:r>
    </w:p>
    <w:p>
      <w:pPr>
        <w:pStyle w:val="TextBody"/>
        <w:bidi w:val="0"/>
        <w:spacing w:before="240" w:after="283"/>
        <w:jc w:val="left"/>
        <w:rPr>
          <w:rFonts w:ascii="Times New Roman" w:hAnsi="Times New Roman"/>
          <w:sz w:val="20"/>
        </w:rPr>
      </w:pPr>
      <w:r>
        <w:rPr>
          <w:rFonts w:ascii="Times New Roman" w:hAnsi="Times New Roman"/>
          <w:i/>
          <w:color w:val="000000"/>
          <w:sz w:val="20"/>
        </w:rPr>
        <w:t xml:space="preserve">Income tax expense. </w:t>
      </w:r>
      <w:r>
        <w:rPr>
          <w:rFonts w:ascii="Times New Roman" w:hAnsi="Times New Roman"/>
          <w:color w:val="000000"/>
          <w:sz w:val="20"/>
        </w:rPr>
        <w:t>Income tax expense was $46.1 million and $31.4 million for the three months ended March 31, 2026 and 2025, respectively. Our effective tax rate for each of the three months ended March 31, 2026 and 2025 was 24.9% and 25.4%, respectively. The decrease in our effective tax rate was primarily due to the favorable treatment of stock options.</w:t>
      </w:r>
    </w:p>
    <w:p>
      <w:pPr>
        <w:pStyle w:val="TextBody"/>
        <w:bidi w:val="0"/>
        <w:spacing w:before="360" w:after="283"/>
        <w:jc w:val="left"/>
        <w:rPr>
          <w:rFonts w:ascii="Times New Roman" w:hAnsi="Times New Roman"/>
          <w:sz w:val="20"/>
        </w:rPr>
      </w:pPr>
      <w:r>
        <w:rPr>
          <w:rFonts w:ascii="Times New Roman" w:hAnsi="Times New Roman"/>
          <w:b/>
          <w:i/>
          <w:color w:val="000000"/>
          <w:sz w:val="20"/>
        </w:rPr>
        <w:t>Ratios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i/>
          <w:color w:val="000000"/>
          <w:sz w:val="20"/>
        </w:rPr>
        <w:t>Loss ratio</w:t>
      </w:r>
      <w:r>
        <w:rPr>
          <w:rFonts w:ascii="Times New Roman" w:hAnsi="Times New Roman"/>
          <w:color w:val="000000"/>
          <w:sz w:val="20"/>
        </w:rPr>
        <w:t>. Our loss ratio decreased to 30.4% for the three months ended March 31, 2026 from 31.5% for the three months ended March 31, 2025, primarily due to a decrease in catastrophe losses.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i/>
          <w:color w:val="000000"/>
          <w:sz w:val="20"/>
        </w:rPr>
        <w:t>Expense ratio</w:t>
      </w:r>
      <w:r>
        <w:rPr>
          <w:rFonts w:ascii="Times New Roman" w:hAnsi="Times New Roman"/>
          <w:color w:val="000000"/>
          <w:sz w:val="20"/>
        </w:rPr>
        <w:t xml:space="preserve">. Our expense ratio decreased to 25.1% for the three months ended March 31, 2026 from 27.4% for the three months ended March 31, 2025, primarily due to scaling impact in net earned premium growth with more moderate operating expense growth and a reduction in amortization expense as intangible assets were fully amortized at the end of 2025. </w:t>
      </w:r>
    </w:p>
    <w:p>
      <w:pPr>
        <w:pStyle w:val="TextBody"/>
        <w:bidi w:val="0"/>
        <w:spacing w:before="240" w:after="283"/>
        <w:jc w:val="left"/>
        <w:rPr>
          <w:rFonts w:ascii="Times New Roman" w:hAnsi="Times New Roman"/>
          <w:sz w:val="20"/>
        </w:rPr>
      </w:pPr>
      <w:r>
        <w:rPr>
          <w:rFonts w:ascii="Times New Roman" w:hAnsi="Times New Roman"/>
          <w:i/>
          <w:color w:val="000000"/>
          <w:sz w:val="20"/>
        </w:rPr>
        <w:t xml:space="preserve">Combined ratio. </w:t>
      </w:r>
      <w:r>
        <w:rPr>
          <w:rFonts w:ascii="Times New Roman" w:hAnsi="Times New Roman"/>
          <w:color w:val="000000"/>
          <w:sz w:val="20"/>
        </w:rPr>
        <w:t xml:space="preserve">Our combined ratio decreased to 55.5% for the three months ended March 31, 2026 from 58.9% for the three months ended March 31, 2025, primarily due to a decrease in catastrophe losses, scaling impact in net earned premium growth with more moderate operating expense growth and a reduction in amortization expense as intangible assets were fully amortized at the end of 2025. </w:t>
      </w:r>
    </w:p>
    <w:p>
      <w:pPr>
        <w:pStyle w:val="TextBody"/>
        <w:bidi w:val="0"/>
        <w:spacing w:before="240" w:after="283"/>
        <w:jc w:val="left"/>
        <w:rPr>
          <w:rFonts w:ascii="Times New Roman" w:hAnsi="Times New Roman"/>
          <w:sz w:val="20"/>
        </w:rPr>
      </w:pPr>
      <w:r>
        <w:rPr>
          <w:rFonts w:ascii="Times New Roman" w:hAnsi="Times New Roman"/>
          <w:i/>
          <w:color w:val="000000"/>
          <w:sz w:val="20"/>
        </w:rPr>
        <w:t>Policy acquisition expense ratio</w:t>
      </w:r>
      <w:r>
        <w:rPr>
          <w:rFonts w:ascii="Times New Roman" w:hAnsi="Times New Roman"/>
          <w:color w:val="000000"/>
          <w:sz w:val="20"/>
        </w:rPr>
        <w:t xml:space="preserve">. Our policy acquisition expense ratio increased to 12.1% for the three months ended March 31, 2026 from 10.7% for the three months ended March 31, 2025, primarily due to increased renewal policies from prior year assumed Citizens' policies, resulting in increased policy acquisition costs in 2026. </w:t>
      </w:r>
    </w:p>
    <w:p>
      <w:pPr>
        <w:pStyle w:val="TextBody"/>
        <w:bidi w:val="0"/>
        <w:spacing w:before="240" w:after="283"/>
        <w:jc w:val="left"/>
        <w:rPr>
          <w:rFonts w:ascii="Times New Roman" w:hAnsi="Times New Roman"/>
          <w:sz w:val="20"/>
        </w:rPr>
      </w:pPr>
      <w:r>
        <w:rPr>
          <w:rFonts w:ascii="Times New Roman" w:hAnsi="Times New Roman"/>
          <w:i/>
          <w:color w:val="000000"/>
          <w:sz w:val="20"/>
        </w:rPr>
        <w:t>Debt to capitalization ratio</w:t>
      </w:r>
      <w:r>
        <w:rPr>
          <w:rFonts w:ascii="Times New Roman" w:hAnsi="Times New Roman"/>
          <w:color w:val="000000"/>
          <w:sz w:val="20"/>
        </w:rPr>
        <w:t xml:space="preserve">. Our debt to capitalization ratio decreased to 2.8% for the three months ended March 31, 2026 from 6.6% for the three months ended March 31, 2025, primarily as a result of growth in retained earnings from net income. </w:t>
      </w:r>
    </w:p>
    <w:p>
      <w:pPr>
        <w:pStyle w:val="TextBody"/>
        <w:bidi w:val="0"/>
        <w:spacing w:before="240" w:after="283"/>
        <w:jc w:val="left"/>
        <w:rPr>
          <w:rFonts w:ascii="Times New Roman" w:hAnsi="Times New Roman"/>
          <w:sz w:val="20"/>
        </w:rPr>
      </w:pPr>
      <w:r>
        <w:rPr>
          <w:rFonts w:ascii="Times New Roman" w:hAnsi="Times New Roman"/>
          <w:i/>
          <w:color w:val="000000"/>
          <w:sz w:val="20"/>
        </w:rPr>
        <w:t xml:space="preserve">Return on equity. </w:t>
      </w:r>
      <w:r>
        <w:rPr>
          <w:rFonts w:ascii="Times New Roman" w:hAnsi="Times New Roman"/>
          <w:color w:val="000000"/>
          <w:sz w:val="20"/>
        </w:rPr>
        <w:t xml:space="preserve">Our return on equity decreased to 12.5% for the three months ended March 31, 2026 from 19.2% for the three months ended March 31, 2025, as a result of growth in equity due to retained earnings from net income.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Non-GAAP Financial Measures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We present our results of operations in a way that we believe will be the most meaningful and useful to investors, analysts, rating agencies and others who use our financial information to evaluate our performance. Some of the measurements are not required by, or presented in accordance with accounting principles generally accepted in the United States of America (“GAAP”) under SEC rules and regulations. We refer to these measures as “non-GAAP financial measures.” For example, in this Quarterly Report, </w:t>
      </w:r>
      <w:r>
        <w:rPr>
          <w:rFonts w:ascii="Times New Roman" w:hAnsi="Times New Roman"/>
          <w:color w:val="231F20"/>
          <w:sz w:val="20"/>
        </w:rPr>
        <w:t>we present tangible shareholders’ equity and return on tangible equit</w:t>
      </w:r>
      <w:r>
        <w:rPr>
          <w:rFonts w:ascii="Times New Roman" w:hAnsi="Times New Roman"/>
          <w:color w:val="000000"/>
          <w:sz w:val="20"/>
        </w:rPr>
        <w:t xml:space="preserve">y, which are a non-GAAP financial measures as defined in Item 10(e) of SEC Regulation S-K. We believe that non-GAAP financial measures, which may be defined and calculated differently by other companies, help explain and enhance the understanding of our results of operations. However, these measures should not be viewed as a substitute for those determined in accordance with GAAP. Reconciliations of our non-GAAP financial measures to the most comparable GAAP figures, for the periods presented follows: </w:t>
      </w:r>
    </w:p>
    <w:p>
      <w:pPr>
        <w:pStyle w:val="TextBody"/>
        <w:bidi w:val="0"/>
        <w:jc w:val="left"/>
        <w:rPr/>
      </w:pPr>
      <w:r>
        <w:rPr/>
        <w:t>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Return on tangible equity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 sets forth a reconciliation of return on tangible equity to return on equity, the most directly comparable GAAP measure:</w:t>
      </w:r>
    </w:p>
    <w:p>
      <w:pPr>
        <w:pStyle w:val="TextBody"/>
        <w:bidi w:val="0"/>
        <w:spacing w:before="120" w:after="283"/>
        <w:jc w:val="left"/>
        <w:rPr/>
      </w:pPr>
      <w:r>
        <w:rPr/>
        <w:t> </w:t>
      </w:r>
    </w:p>
    <w:tbl>
      <w:tblPr>
        <w:tblW w:w="10205" w:type="dxa"/>
        <w:jc w:val="left"/>
        <w:tblInd w:w="0" w:type="dxa"/>
        <w:tblLayout w:type="fixed"/>
        <w:tblCellMar>
          <w:top w:w="28" w:type="dxa"/>
          <w:left w:w="28" w:type="dxa"/>
          <w:bottom w:w="28" w:type="dxa"/>
          <w:right w:w="28" w:type="dxa"/>
        </w:tblCellMar>
      </w:tblPr>
      <w:tblGrid>
        <w:gridCol w:w="4484"/>
        <w:gridCol w:w="146"/>
        <w:gridCol w:w="211"/>
        <w:gridCol w:w="931"/>
        <w:gridCol w:w="271"/>
        <w:gridCol w:w="146"/>
        <w:gridCol w:w="211"/>
        <w:gridCol w:w="781"/>
        <w:gridCol w:w="271"/>
        <w:gridCol w:w="146"/>
        <w:gridCol w:w="407"/>
        <w:gridCol w:w="1508"/>
        <w:gridCol w:w="692"/>
      </w:tblGrid>
      <w:tr>
        <w:trPr/>
        <w:tc>
          <w:tcPr>
            <w:tcW w:w="448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508"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r>
      <w:tr>
        <w:trPr/>
        <w:tc>
          <w:tcPr>
            <w:tcW w:w="44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br/>
              <w:t>(in thousands)</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6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6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Numerator: 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139,527</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92,503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443,958</w:t>
            </w:r>
          </w:p>
        </w:tc>
        <w:tc>
          <w:tcPr>
            <w:tcW w:w="6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Denominator: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48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Average shareholders'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1,113,427</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482,804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773,200</w:t>
            </w:r>
          </w:p>
        </w:tc>
        <w:tc>
          <w:tcPr>
            <w:tcW w:w="692"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r>
      <w:tr>
        <w:trPr/>
        <w:tc>
          <w:tcPr>
            <w:tcW w:w="4484"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Less: Average goodwill and other intangible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(9,348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(6,499</w:t>
            </w:r>
          </w:p>
        </w:tc>
        <w:tc>
          <w:tcPr>
            <w:tcW w:w="6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Average tangible shareholders'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1,110,759</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473,456</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766,701</w:t>
            </w:r>
          </w:p>
        </w:tc>
        <w:tc>
          <w:tcPr>
            <w:tcW w:w="6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Return on tangible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57.9</w:t>
            </w:r>
          </w:p>
        </w:tc>
        <w:tc>
          <w:tcPr>
            <w:tcW w:w="6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Return on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57.4</w:t>
            </w:r>
          </w:p>
        </w:tc>
        <w:tc>
          <w:tcPr>
            <w:tcW w:w="6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Our return on tangible equity decreased to 12.6% for the three months ended March 31, 2026 from 19.5% for the three months ended March 31, 2025, as a result of growth in equity due to an increase in retained earnings from net income. </w:t>
      </w:r>
    </w:p>
    <w:p>
      <w:pPr>
        <w:pStyle w:val="TextBody"/>
        <w:bidi w:val="0"/>
        <w:spacing w:before="360" w:after="283"/>
        <w:jc w:val="left"/>
        <w:rPr>
          <w:rFonts w:ascii="Times New Roman" w:hAnsi="Times New Roman"/>
          <w:sz w:val="20"/>
        </w:rPr>
      </w:pPr>
      <w:r>
        <w:rPr>
          <w:rFonts w:ascii="Times New Roman" w:hAnsi="Times New Roman"/>
          <w:b/>
          <w:color w:val="000000"/>
          <w:sz w:val="20"/>
        </w:rPr>
        <w:t>Liquidity and Capital Resources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organized as a Delaware holding company with our operations primarily conducted by our wholly owned insurance company subsidiaries, SIC (domiciled in the State of Florida), Slide Specialty (domiciled in the State of Rhode Island), Slide Reinsurance Holdings, LLC (a holding company which owns 100% of shares of segregated cell T104 of White Rock Insurance (SAC) LTD.) and our services companies Slide MGA, LLC, Clegg Insurance Advisors, LLC D/B/A Homefront, STAT Claims Co., and Trusted Mitigation Contractors.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may receive cash through (i) capital contributions or issuance of equity and debt securities, (ii) dividends from our insurance company subsidiaries and (iii) distributions from our services companies. We may use these proceeds to contribute funds to our insurance company subsidiaries to support growth, pay dividends, pay taxes, or for other corporate purposes.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SIC can only pay dividends to us out of its available and accumulated surplus funds, which are derived from realized net operating profits on its business and net unrealized capital gains.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No dividends were paid by SIC in 2026 and 2025. Florida Statute Section 624.408 requires SIC to maintain a minimum level of surplus of not less than the greater of 10% of its total liabilities, or $15.0 million. Based on this requirement, SIC was required to maintain capital and surplus of $124.1 million and $113.9 million as of March 31, 2026 and December 31, 2025, respectively. As of March 31, 2026 and December 31, 2025, SIC’s statutory-basis surplus totaled $484.1 million and $417.9 million, meeting the minimum surplus requirements.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March 31, 2026 and December 31, 2025, we had $1.700 billion and $1.683 billion, respectively, in cash, cash equivalents and restricted cash, which primarily consisted of cash, money market accounts and US Treasury bills. We intend to maintain substantial cash or cash-equivalent balances during hurricane season to meet seasonal liquidity needs relating to potential catastrophic losses. However, in the event of a failure of the financial institution, there is a chance we may be unable to access such funds and may incur a loss to the extent such balance exceeds the FDIC insurance limits, which could have a negative impact on our liquidity and financial condition.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insurance subsidiaries generate cash through premium collections, investment income and the sale or maturity of invested assets. We received net proceeds of approximately $263.3 million from the IPO proceeds. Our insurance subsidiaries use cash to pay reinsurance premiums, losses and loss adjustment expenses incurred, net, policy acquisition and other underwriting expenses, salaries and employee benefits and other expenses, as well as to purchase investments.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Although we can provide no assurances, we believe that our available cash, cash equivalents, and restricted cash balance and cash generated from operations, should be sufficient to meet our working capital requirements and other capital expenditures for the next twelve months.</w:t>
      </w:r>
    </w:p>
    <w:p>
      <w:pPr>
        <w:pStyle w:val="TextBody"/>
        <w:bidi w:val="0"/>
        <w:jc w:val="left"/>
        <w:rPr/>
      </w:pPr>
      <w:r>
        <w:rPr/>
        <w:t>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Cash Flows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Our most significant source of cash is from premiums received from insureds, net of the related commission amount for the policies. Our most significant cash outflows are for claims that arise when a policyholder incurs an insured loss and for catastrophe excess of loss reinsurance. Because the payment of claims occurs after the receipt of the premium, often years later, we invest the cash in various investment securities that generally earn interest and dividends. The table below summarizes our net cash flow.</w:t>
      </w:r>
    </w:p>
    <w:p>
      <w:pPr>
        <w:pStyle w:val="TextBody"/>
        <w:bidi w:val="0"/>
        <w:jc w:val="left"/>
        <w:rPr/>
      </w:pPr>
      <w:r>
        <w:rPr/>
        <w:t> </w:t>
      </w:r>
    </w:p>
    <w:tbl>
      <w:tblPr>
        <w:tblW w:w="10092" w:type="dxa"/>
        <w:jc w:val="left"/>
        <w:tblInd w:w="0" w:type="dxa"/>
        <w:tblLayout w:type="fixed"/>
        <w:tblCellMar>
          <w:top w:w="28" w:type="dxa"/>
          <w:left w:w="28" w:type="dxa"/>
          <w:bottom w:w="28" w:type="dxa"/>
          <w:right w:w="28" w:type="dxa"/>
        </w:tblCellMar>
      </w:tblPr>
      <w:tblGrid>
        <w:gridCol w:w="4811"/>
        <w:gridCol w:w="146"/>
        <w:gridCol w:w="146"/>
        <w:gridCol w:w="841"/>
        <w:gridCol w:w="166"/>
        <w:gridCol w:w="146"/>
        <w:gridCol w:w="146"/>
        <w:gridCol w:w="781"/>
        <w:gridCol w:w="166"/>
        <w:gridCol w:w="146"/>
        <w:gridCol w:w="146"/>
        <w:gridCol w:w="841"/>
        <w:gridCol w:w="166"/>
        <w:gridCol w:w="146"/>
        <w:gridCol w:w="146"/>
        <w:gridCol w:w="736"/>
        <w:gridCol w:w="416"/>
      </w:tblGrid>
      <w:tr>
        <w:trPr/>
        <w:tc>
          <w:tcPr>
            <w:tcW w:w="48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r>
      <w:tr>
        <w:trPr/>
        <w:tc>
          <w:tcPr>
            <w:tcW w:w="48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19"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br/>
              <w:t>(in thousands)</w:t>
            </w:r>
          </w:p>
        </w:tc>
        <w:tc>
          <w:tcPr>
            <w:tcW w:w="4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4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provided by (used 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289,488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96,812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192,676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199.0</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8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(134,067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(145,835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(1239.3</w:t>
            </w:r>
          </w:p>
        </w:tc>
        <w:tc>
          <w:tcPr>
            <w:tcW w:w="4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(137,988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(136,489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9105.3</w:t>
            </w:r>
          </w:p>
        </w:tc>
        <w:tc>
          <w:tcPr>
            <w:tcW w:w="4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48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Net increase in cash, cash equivalents and 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107,081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(89,648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(83.7</w:t>
            </w:r>
          </w:p>
        </w:tc>
        <w:tc>
          <w:tcPr>
            <w:tcW w:w="4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For the three months ended March 31, 2026, cash flows provided by operating activities was $289.5 million, an increase of $192.7 million from the three months ended March 31, 2025, driven by an increase in net income and change in certain balance sheet accounts. For the three months ended March 31, 2026, cash flows used in investing activities was $134.1 million, a decrease of $145.8 million from cash provided by investing activities for the three months ended March 31, 2025, driven by the increased purchases of fixed-maturity securities available-for-sale. For the three months ended March 31, 2026, cash flows used in financing activities was $138.0 million, a decrease of $136.5 million from the three months ended March 31, 2025, driven by the repurchase and retirement of common stock through the repurchase program.</w:t>
      </w:r>
    </w:p>
    <w:p>
      <w:pPr>
        <w:pStyle w:val="TextBody"/>
        <w:bidi w:val="0"/>
        <w:jc w:val="left"/>
        <w:rPr/>
      </w:pPr>
      <w:r>
        <w:rPr/>
        <w:t> </w:t>
      </w:r>
    </w:p>
    <w:p>
      <w:pPr>
        <w:pStyle w:val="TextBody"/>
        <w:bidi w:val="0"/>
        <w:jc w:val="left"/>
        <w:rPr>
          <w:rFonts w:ascii="Times New Roman" w:hAnsi="Times New Roman"/>
          <w:b/>
          <w:i/>
          <w:color w:val="000000"/>
          <w:sz w:val="20"/>
          <w:u w:val="single"/>
        </w:rPr>
      </w:pPr>
      <w:r>
        <w:rPr>
          <w:rFonts w:ascii="Times New Roman" w:hAnsi="Times New Roman"/>
          <w:b/>
          <w:i/>
          <w:color w:val="000000"/>
          <w:sz w:val="20"/>
          <w:u w:val="single"/>
        </w:rPr>
        <w:t>Credit Facility</w:t>
      </w:r>
    </w:p>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On June 25, 2024, we entered into an amended and restated credit agreement with Regions Bank for a $10.0 million revolving credit facility, which was increased to $45.0 million pursuant to the accordion feature on March 20, 2025, a term loan in an aggregate principal amount of $40.0 million and one or more delayed draw term loans in an aggregate principal amount not to exceed $125.0 million (together, the “Credit Facility”). The Credit Facility contains covenants that, among other things, restrict our ability to make certain restricted payments, incur additional debt, engage in certain asset sales, mergers, acquisitions or similar transactions, create liens on assets, engage in certain transactions with affiliates, change our business or make investments and require us to comply with certain financial covenants. Pursuant to the terms of the Credit Facility, we may from time to time establish one or more additional term loans subject to certain conditions precedent contained therein. The Credit Facility is guaranteed by certain of our subsidiaries and is secured by certain of our cash and deposit account balances. The Credit Facility matures on June 25, 2029. At March 31, 2026, the Company had no borrowings outstanding under the revolving credit facility and an outstanding balance of $36.0 million on the term loan. At March 31, 2026, the Company was in compliance with all required covenants and had available borrowing capacity of $170.0 million.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Credit Facility accrues interest at (i) for base rate loans, the highest of (a) the prime rate, (b) the federal funds rate, as in effect from time to time, plus 0.50% per annum, (c) the term secured overnight financing rate (“SOFR”) in effect on such day for a forward-looking interest period of one month commencing on such day, plus 1.00% per annum, and (d) the floor of 0.00% per annum, in each case plus an applicable margin of (x) if the consolidated total leverage ratio, as defined in the Credit Facility, is less than 1.00:1.00, 2.25%, (y) if the consolidated total leverage ratio is greater than or equal to 1.00:1.00 but less than 1.50:1.00, 2.50% or (z) if the consolidated total leverage ratio is greater than or equal to 1.50:1.00, 2.75%, and (ii) for SOFR based loans, the rate per annum equal to the SOFR reference rate for a forward-looking tenor comparable to the then applicable or selected (as applicable) interest period, determined as of a periodic term</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SOFR determination date, or the floor of 0.00% per annum, if applicable, plus an applicable margin of (x) if the consolidated total leverage ratio is less than 1.00:1.00, 3.25%, (y) if the consolidated total leverage ratio is greater than or equal to 1.00:1.00 but less than 1.50:1.00, 3.50% or (z) if the consolidated total leverage ratio is greater than or equal to 1.50:1.00, 3.75%.</w:t>
      </w:r>
    </w:p>
    <w:p>
      <w:pPr>
        <w:pStyle w:val="TextBody"/>
        <w:bidi w:val="0"/>
        <w:jc w:val="left"/>
        <w:rPr/>
      </w:pPr>
      <w:r>
        <w:rPr/>
        <w:t> </w:t>
      </w:r>
    </w:p>
    <w:p>
      <w:pPr>
        <w:pStyle w:val="TextBody"/>
        <w:bidi w:val="0"/>
        <w:jc w:val="left"/>
        <w:rPr>
          <w:rFonts w:ascii="Times New Roman" w:hAnsi="Times New Roman"/>
          <w:b/>
          <w:i/>
          <w:color w:val="000000"/>
          <w:sz w:val="20"/>
          <w:u w:val="single"/>
        </w:rPr>
      </w:pPr>
      <w:r>
        <w:rPr>
          <w:rFonts w:ascii="Times New Roman" w:hAnsi="Times New Roman"/>
          <w:b/>
          <w:i/>
          <w:color w:val="000000"/>
          <w:sz w:val="20"/>
          <w:u w:val="single"/>
        </w:rPr>
        <w:t>Off-Balance Sheet Arrangement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At March 31, 2026, we do not maintain any off-balance sheet arrangements. </w:t>
      </w:r>
    </w:p>
    <w:p>
      <w:pPr>
        <w:pStyle w:val="TextBody"/>
        <w:bidi w:val="0"/>
        <w:jc w:val="left"/>
        <w:rPr/>
      </w:pPr>
      <w:r>
        <w:rPr/>
        <w:t> </w:t>
      </w:r>
    </w:p>
    <w:p>
      <w:pPr>
        <w:pStyle w:val="TextBody"/>
        <w:bidi w:val="0"/>
        <w:jc w:val="left"/>
        <w:rPr>
          <w:rFonts w:ascii="Times New Roman" w:hAnsi="Times New Roman"/>
          <w:b/>
          <w:i/>
          <w:color w:val="000000"/>
          <w:sz w:val="20"/>
          <w:u w:val="single"/>
        </w:rPr>
      </w:pPr>
      <w:r>
        <w:rPr>
          <w:rFonts w:ascii="Times New Roman" w:hAnsi="Times New Roman"/>
          <w:b/>
          <w:i/>
          <w:color w:val="000000"/>
          <w:sz w:val="20"/>
          <w:u w:val="single"/>
        </w:rPr>
        <w:t>Seasonality of Our Business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Our insurance business is seasonal as hurricanes typically occur during the period from June 1 through November 30 each year. With our catastrophe reinsurance program effective on June 1 each year, any variation in the cost of our reinsurance, whether due to changes to reinsurance rates or changes in the total insured value of our policy base, will occur and be reflected in our financial results beginning June 1 of each year, subject to certain adjustments.</w:t>
      </w:r>
    </w:p>
    <w:p>
      <w:pPr>
        <w:pStyle w:val="TextBody"/>
        <w:bidi w:val="0"/>
        <w:jc w:val="left"/>
        <w:rPr/>
      </w:pPr>
      <w:r>
        <w:rPr/>
        <w:t> </w:t>
      </w:r>
    </w:p>
    <w:p>
      <w:pPr>
        <w:pStyle w:val="TextBody"/>
        <w:bidi w:val="0"/>
        <w:jc w:val="left"/>
        <w:rPr>
          <w:rFonts w:ascii="Times New Roman" w:hAnsi="Times New Roman"/>
          <w:b/>
          <w:i/>
          <w:color w:val="000000"/>
          <w:sz w:val="20"/>
          <w:u w:val="single"/>
        </w:rPr>
      </w:pPr>
      <w:r>
        <w:rPr>
          <w:rFonts w:ascii="Times New Roman" w:hAnsi="Times New Roman"/>
          <w:b/>
          <w:i/>
          <w:color w:val="000000"/>
          <w:sz w:val="20"/>
          <w:u w:val="single"/>
        </w:rPr>
        <w:t>Contractual Obligations and Commitments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following table illustrates our contractual obligations and commercial commitments by due date as of March 31, 2026:</w:t>
      </w:r>
    </w:p>
    <w:p>
      <w:pPr>
        <w:pStyle w:val="TextBody"/>
        <w:bidi w:val="0"/>
        <w:jc w:val="left"/>
        <w:rPr/>
      </w:pPr>
      <w:r>
        <w:rPr/>
        <w:t> </w:t>
      </w:r>
    </w:p>
    <w:p>
      <w:pPr>
        <w:pStyle w:val="TextBody"/>
        <w:bidi w:val="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008"/>
        <w:gridCol w:w="146"/>
        <w:gridCol w:w="211"/>
        <w:gridCol w:w="676"/>
        <w:gridCol w:w="146"/>
        <w:gridCol w:w="146"/>
        <w:gridCol w:w="309"/>
        <w:gridCol w:w="836"/>
        <w:gridCol w:w="146"/>
        <w:gridCol w:w="146"/>
        <w:gridCol w:w="408"/>
        <w:gridCol w:w="1310"/>
        <w:gridCol w:w="146"/>
        <w:gridCol w:w="146"/>
        <w:gridCol w:w="417"/>
        <w:gridCol w:w="1337"/>
        <w:gridCol w:w="146"/>
        <w:gridCol w:w="146"/>
        <w:gridCol w:w="605"/>
        <w:gridCol w:w="477"/>
        <w:gridCol w:w="297"/>
      </w:tblGrid>
      <w:tr>
        <w:trPr/>
        <w:tc>
          <w:tcPr>
            <w:tcW w:w="200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131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33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r>
      <w:tr>
        <w:trPr/>
        <w:tc>
          <w:tcPr>
            <w:tcW w:w="20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54" w:type="dxa"/>
            <w:gridSpan w:val="1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Payments Due by Period</w:t>
            </w:r>
          </w:p>
        </w:tc>
        <w:tc>
          <w:tcPr>
            <w:tcW w:w="2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Less Than One Year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One Year to Less Than Three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Years to Less Than Five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More Than Five Years</w:t>
            </w:r>
          </w:p>
        </w:tc>
        <w:tc>
          <w:tcPr>
            <w:tcW w:w="2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Debt securities and credit agreements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Interest payable </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3,863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obligations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10,452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4,999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3,728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97"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200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51,852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7,986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17,362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3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26,504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351"/>
        <w:jc w:val="left"/>
        <w:rPr>
          <w:rFonts w:ascii="Times New Roman" w:hAnsi="Times New Roman"/>
          <w:color w:val="000000"/>
          <w:sz w:val="20"/>
        </w:rPr>
      </w:pPr>
      <w:r>
        <w:rPr>
          <w:rFonts w:ascii="Times New Roman" w:hAnsi="Times New Roman"/>
          <w:color w:val="000000"/>
          <w:sz w:val="20"/>
        </w:rPr>
        <w:t>1) Interest on the Credit Facility is calculated using 7.09% in effect at March 31, 2026 with the assumption that interest rates remain flat over the remainder of the period that the Credit Facility is outstanding. At our option, we may prepay the Credit Facility, in whole or in part, without premium or penalty.</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Financial Condition</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Stockholders’ Equity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March 31, 2026, stockholders’ equity was $1,113.6 million. As of December 31, 2025, total stockholders’ equity was $1,113.2 million. The increase was primarily due to increased retained earnings from net income offset by the repurchase and retirement of common stock through the repurchase program. </w:t>
      </w:r>
    </w:p>
    <w:p>
      <w:pPr>
        <w:pStyle w:val="TextBody"/>
        <w:bidi w:val="0"/>
        <w:spacing w:before="360" w:after="283"/>
        <w:jc w:val="left"/>
        <w:rPr>
          <w:rFonts w:ascii="Times New Roman" w:hAnsi="Times New Roman"/>
          <w:sz w:val="20"/>
        </w:rPr>
      </w:pPr>
      <w:r>
        <w:rPr>
          <w:rFonts w:ascii="Times New Roman" w:hAnsi="Times New Roman"/>
          <w:b/>
          <w:i/>
          <w:color w:val="000000"/>
          <w:sz w:val="20"/>
        </w:rPr>
        <w:t>Investment Portfolio</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primary investment objectives are to maintain liquidity, preserve capital and generate a stable level of investment income. We purchase securities that we believe are attractive on a relative value basis and seek to generate returns in excess of predetermined benchmarks. Our Board determines our investment guidelines in compliance with applicable regulatory restrictions on asset type, quality and concentration.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cash and invested assets consist of cash and cash equivalents, fixed maturity securities and equity securities. As of March 31, 2026, the majority of our investments, or $714.6 million, was comprised of fixed income securities rated BBB- or better. Our investments also include $4.0 million of other securities. In addition, we maintained a non-restricted cash and cash equivalent balance of $1,217.6 million and a restricted cash balance of $482.8 million as of March 31, 2026.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of December 31, 2025, the majority of our investments, or $588.2 million, was comprised of fixed income securities rated BBB- or better. Our investments also include $4.0 million of other securities. In addition, we maintained a non-restricted cash and cash equivalent balance of $1,201.2 million and a restricted cash balance of $481.8 million as of December 31, 2025.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of March 31, 2026, and December 31, 2025, the amortized cost and fair value on available for sale securities were as follows: </w:t>
      </w:r>
    </w:p>
    <w:p>
      <w:pPr>
        <w:pStyle w:val="TextBody"/>
        <w:bidi w:val="0"/>
        <w:jc w:val="left"/>
        <w:rPr/>
      </w:pPr>
      <w:r>
        <w:rPr/>
        <w:t> </w:t>
      </w:r>
    </w:p>
    <w:tbl>
      <w:tblPr>
        <w:tblW w:w="8446" w:type="dxa"/>
        <w:jc w:val="left"/>
        <w:tblInd w:w="0" w:type="dxa"/>
        <w:tblLayout w:type="fixed"/>
        <w:tblCellMar>
          <w:top w:w="28" w:type="dxa"/>
          <w:left w:w="28" w:type="dxa"/>
          <w:bottom w:w="28" w:type="dxa"/>
          <w:right w:w="28" w:type="dxa"/>
        </w:tblCellMar>
      </w:tblPr>
      <w:tblGrid>
        <w:gridCol w:w="4486"/>
        <w:gridCol w:w="146"/>
        <w:gridCol w:w="211"/>
        <w:gridCol w:w="781"/>
        <w:gridCol w:w="146"/>
        <w:gridCol w:w="146"/>
        <w:gridCol w:w="211"/>
        <w:gridCol w:w="781"/>
        <w:gridCol w:w="146"/>
        <w:gridCol w:w="146"/>
        <w:gridCol w:w="214"/>
        <w:gridCol w:w="686"/>
        <w:gridCol w:w="346"/>
      </w:tblGrid>
      <w:tr>
        <w:trPr/>
        <w:tc>
          <w:tcPr>
            <w:tcW w:w="44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8"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March 31, 2026</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Fixed Maturity Securities: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w:t>
              <w:b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of Total</w:t>
              <w:br/>
              <w:t>Fair Value</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8"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in thousands)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4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Obligations of the U.S. Treasury and U.S. Government</w:t>
              <w:br/>
              <w:t>   agencies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172,630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173,408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Obligations of state and political subdivisions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223,641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225,182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Corporate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241,109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241,151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Asset-backed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76,772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76,296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available for sale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714,152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716,037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100</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bl>
    <w:p>
      <w:pPr>
        <w:pStyle w:val="TextBody"/>
        <w:bidi w:val="0"/>
        <w:jc w:val="left"/>
        <w:rPr/>
      </w:pPr>
      <w:r>
        <w:rPr/>
        <w:t> </w:t>
      </w:r>
    </w:p>
    <w:tbl>
      <w:tblPr>
        <w:tblW w:w="8616" w:type="dxa"/>
        <w:jc w:val="left"/>
        <w:tblInd w:w="0" w:type="dxa"/>
        <w:tblLayout w:type="fixed"/>
        <w:tblCellMar>
          <w:top w:w="28" w:type="dxa"/>
          <w:left w:w="28" w:type="dxa"/>
          <w:bottom w:w="28" w:type="dxa"/>
          <w:right w:w="28" w:type="dxa"/>
        </w:tblCellMar>
      </w:tblPr>
      <w:tblGrid>
        <w:gridCol w:w="4486"/>
        <w:gridCol w:w="146"/>
        <w:gridCol w:w="211"/>
        <w:gridCol w:w="781"/>
        <w:gridCol w:w="146"/>
        <w:gridCol w:w="146"/>
        <w:gridCol w:w="211"/>
        <w:gridCol w:w="781"/>
        <w:gridCol w:w="146"/>
        <w:gridCol w:w="146"/>
        <w:gridCol w:w="183"/>
        <w:gridCol w:w="717"/>
        <w:gridCol w:w="516"/>
      </w:tblGrid>
      <w:tr>
        <w:trPr/>
        <w:tc>
          <w:tcPr>
            <w:tcW w:w="44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8"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December 31, 2025</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Fixed Maturity Securities: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w:t>
              <w:b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of Total</w:t>
              <w:br/>
              <w:t>Fair Value</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8"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in thousands)</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4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Obligations of the U.S. Treasury and U.S. Government</w:t>
              <w:br/>
              <w:t>   agencies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155,600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157,575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Obligations of state and political subdivisions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203,485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207,274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35.1</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Corporate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171,501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175,007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Asset-backed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49,536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49,864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4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Total available for sale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580,122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589,720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100.0</w:t>
            </w:r>
          </w:p>
        </w:tc>
        <w:tc>
          <w:tcPr>
            <w:tcW w:w="5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bl>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following tables provide the credit quality of available for sale investments as of March 31, 2026 and December 31, 2025: </w:t>
      </w:r>
    </w:p>
    <w:p>
      <w:pPr>
        <w:pStyle w:val="TextBody"/>
        <w:bidi w:val="0"/>
        <w:jc w:val="left"/>
        <w:rPr/>
      </w:pPr>
      <w:r>
        <w:rPr/>
        <w:t> </w:t>
      </w:r>
    </w:p>
    <w:tbl>
      <w:tblPr>
        <w:tblW w:w="7096" w:type="dxa"/>
        <w:jc w:val="left"/>
        <w:tblInd w:w="0" w:type="dxa"/>
        <w:tblLayout w:type="fixed"/>
        <w:tblCellMar>
          <w:top w:w="28" w:type="dxa"/>
          <w:left w:w="28" w:type="dxa"/>
          <w:bottom w:w="28" w:type="dxa"/>
          <w:right w:w="28" w:type="dxa"/>
        </w:tblCellMar>
      </w:tblPr>
      <w:tblGrid>
        <w:gridCol w:w="3136"/>
        <w:gridCol w:w="146"/>
        <w:gridCol w:w="211"/>
        <w:gridCol w:w="781"/>
        <w:gridCol w:w="146"/>
        <w:gridCol w:w="146"/>
        <w:gridCol w:w="211"/>
        <w:gridCol w:w="781"/>
        <w:gridCol w:w="146"/>
        <w:gridCol w:w="146"/>
        <w:gridCol w:w="183"/>
        <w:gridCol w:w="717"/>
        <w:gridCol w:w="346"/>
      </w:tblGrid>
      <w:tr>
        <w:trPr/>
        <w:tc>
          <w:tcPr>
            <w:tcW w:w="31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r>
      <w:tr>
        <w:trPr/>
        <w:tc>
          <w:tcPr>
            <w:tcW w:w="3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8"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March 31, 2026</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Rating:</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w:t>
              <w:b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of Total</w:t>
              <w:br/>
              <w:t>Fair Value</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8"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in thousands)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1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AAA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67,578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67,804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289,777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290,462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40.6</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59,756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60,077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42,098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42,507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47,440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47,462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55,808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55,635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47,044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BBB+</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52,091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52,660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BBB</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45,169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44,971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BBB-</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5,965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Not Rated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available for sale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714,152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716,037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100.0</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bl>
    <w:p>
      <w:pPr>
        <w:pStyle w:val="TextBody"/>
        <w:bidi w:val="0"/>
        <w:jc w:val="left"/>
        <w:rPr/>
      </w:pPr>
      <w:r>
        <w:rPr/>
        <w:t> </w:t>
      </w:r>
    </w:p>
    <w:tbl>
      <w:tblPr>
        <w:tblW w:w="7642" w:type="dxa"/>
        <w:jc w:val="left"/>
        <w:tblInd w:w="0" w:type="dxa"/>
        <w:tblLayout w:type="fixed"/>
        <w:tblCellMar>
          <w:top w:w="28" w:type="dxa"/>
          <w:left w:w="28" w:type="dxa"/>
          <w:bottom w:w="28" w:type="dxa"/>
          <w:right w:w="28" w:type="dxa"/>
        </w:tblCellMar>
      </w:tblPr>
      <w:tblGrid>
        <w:gridCol w:w="3336"/>
        <w:gridCol w:w="146"/>
        <w:gridCol w:w="211"/>
        <w:gridCol w:w="781"/>
        <w:gridCol w:w="146"/>
        <w:gridCol w:w="146"/>
        <w:gridCol w:w="211"/>
        <w:gridCol w:w="781"/>
        <w:gridCol w:w="146"/>
        <w:gridCol w:w="146"/>
        <w:gridCol w:w="214"/>
        <w:gridCol w:w="686"/>
        <w:gridCol w:w="301"/>
        <w:gridCol w:w="391"/>
      </w:tblGrid>
      <w:tr>
        <w:trPr/>
        <w:tc>
          <w:tcPr>
            <w:tcW w:w="33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8"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December 31, 2025</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Rating:</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w:t>
              <w:b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w:t>
              <w:br/>
              <w:t>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of Total</w:t>
              <w:br/>
              <w:t>Fair Value</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60" w:type="dxa"/>
            <w:gridSpan w:val="1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in thousands)</w:t>
            </w:r>
          </w:p>
        </w:tc>
      </w:tr>
      <w:tr>
        <w:trPr/>
        <w:tc>
          <w:tcPr>
            <w:tcW w:w="33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AAA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55,471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56,321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242,675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245,780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41.7</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56,183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57,084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40,755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41,733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34,234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34,815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37,219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37,755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31,055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BBB+</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42,157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43,334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BBB</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35,257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35,935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BBB-</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3,772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Not Rated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3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3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Total available for sale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580,122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589,720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100</w:t>
            </w:r>
          </w:p>
        </w:tc>
        <w:tc>
          <w:tcPr>
            <w:tcW w:w="3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amortized cost and fair value of our available for sale investments in fixed maturity securities summarized by contractual maturity as of March 31, 2026 and December 31, 2025 are displayed in the tables below. Expected maturities may differ from contractual maturities because borrowers may have the right to call or prepay obligations. </w:t>
      </w:r>
    </w:p>
    <w:p>
      <w:pPr>
        <w:pStyle w:val="TextBody"/>
        <w:bidi w:val="0"/>
        <w:jc w:val="left"/>
        <w:rPr/>
      </w:pPr>
      <w:r>
        <w:rPr/>
        <w:t> </w:t>
      </w:r>
    </w:p>
    <w:tbl>
      <w:tblPr>
        <w:tblW w:w="7096" w:type="dxa"/>
        <w:jc w:val="left"/>
        <w:tblInd w:w="0" w:type="dxa"/>
        <w:tblLayout w:type="fixed"/>
        <w:tblCellMar>
          <w:top w:w="28" w:type="dxa"/>
          <w:left w:w="28" w:type="dxa"/>
          <w:bottom w:w="28" w:type="dxa"/>
          <w:right w:w="28" w:type="dxa"/>
        </w:tblCellMar>
      </w:tblPr>
      <w:tblGrid>
        <w:gridCol w:w="3136"/>
        <w:gridCol w:w="146"/>
        <w:gridCol w:w="211"/>
        <w:gridCol w:w="781"/>
        <w:gridCol w:w="146"/>
        <w:gridCol w:w="146"/>
        <w:gridCol w:w="211"/>
        <w:gridCol w:w="781"/>
        <w:gridCol w:w="146"/>
        <w:gridCol w:w="146"/>
        <w:gridCol w:w="183"/>
        <w:gridCol w:w="717"/>
        <w:gridCol w:w="346"/>
      </w:tblGrid>
      <w:tr>
        <w:trPr/>
        <w:tc>
          <w:tcPr>
            <w:tcW w:w="31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r>
      <w:tr>
        <w:trPr/>
        <w:tc>
          <w:tcPr>
            <w:tcW w:w="3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8"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March 31, 2026</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w:t>
              <w:b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of Total</w:t>
              <w:br/>
              <w:t>Fair Value</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8"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in thousands)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1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Due in one year or less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49,006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49,166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Due after one year through five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324,938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328,561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45.9</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Due after five years through 10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239,871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238,817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Due after 10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100,337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99,493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available for sale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714,152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716,037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100.0</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bl>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tbl>
      <w:tblPr>
        <w:tblW w:w="7466" w:type="dxa"/>
        <w:jc w:val="left"/>
        <w:tblInd w:w="0" w:type="dxa"/>
        <w:tblLayout w:type="fixed"/>
        <w:tblCellMar>
          <w:top w:w="28" w:type="dxa"/>
          <w:left w:w="28" w:type="dxa"/>
          <w:bottom w:w="28" w:type="dxa"/>
          <w:right w:w="28" w:type="dxa"/>
        </w:tblCellMar>
      </w:tblPr>
      <w:tblGrid>
        <w:gridCol w:w="3336"/>
        <w:gridCol w:w="146"/>
        <w:gridCol w:w="211"/>
        <w:gridCol w:w="781"/>
        <w:gridCol w:w="146"/>
        <w:gridCol w:w="146"/>
        <w:gridCol w:w="211"/>
        <w:gridCol w:w="781"/>
        <w:gridCol w:w="146"/>
        <w:gridCol w:w="146"/>
        <w:gridCol w:w="214"/>
        <w:gridCol w:w="686"/>
        <w:gridCol w:w="516"/>
      </w:tblGrid>
      <w:tr>
        <w:trPr/>
        <w:tc>
          <w:tcPr>
            <w:tcW w:w="33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r>
      <w:tr>
        <w:trPr/>
        <w:tc>
          <w:tcPr>
            <w:tcW w:w="3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8"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December 31, 2025</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w:t>
              <w:b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of Total</w:t>
              <w:br/>
              <w:t>Fair Value</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8"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in thousands)</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3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Due in one year or less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48,155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48,353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Due after one year through five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303,205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309,550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52.5</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Due after five years through 10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165,622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168,346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Due after 10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63,140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63,471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3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Total available for sale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580,122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589,720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100</w:t>
            </w:r>
          </w:p>
        </w:tc>
        <w:tc>
          <w:tcPr>
            <w:tcW w:w="5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bl>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Critical Accounting Policies and Estimates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critical accounting policies are described in Part II, Item 7 “Management’s Discussion and Analysis of Financial Condition and Results of Operations” included in our Annual Report on Form 10-K for the year ended December 31, 2025. </w:t>
      </w:r>
    </w:p>
    <w:p>
      <w:pPr>
        <w:pStyle w:val="TextBody"/>
        <w:bidi w:val="0"/>
        <w:spacing w:before="360" w:after="283"/>
        <w:jc w:val="left"/>
        <w:rPr>
          <w:rFonts w:ascii="Times New Roman" w:hAnsi="Times New Roman"/>
          <w:sz w:val="20"/>
        </w:rPr>
      </w:pPr>
      <w:r>
        <w:rPr>
          <w:rFonts w:ascii="Times New Roman" w:hAnsi="Times New Roman"/>
          <w:b/>
          <w:color w:val="000000"/>
          <w:sz w:val="20"/>
        </w:rPr>
        <w:t>Recent Accounting Pronouncements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See discussion of recent accounting standards in Note 1 in the accompanying notes to the condensed consolidated financial statements for further details. </w:t>
      </w:r>
    </w:p>
    <w:p>
      <w:pPr>
        <w:pStyle w:val="TextBody"/>
        <w:bidi w:val="0"/>
        <w:spacing w:before="360" w:after="283"/>
        <w:jc w:val="left"/>
        <w:rPr>
          <w:rFonts w:ascii="Times New Roman" w:hAnsi="Times New Roman"/>
          <w:sz w:val="20"/>
        </w:rPr>
      </w:pPr>
      <w:r>
        <w:rPr>
          <w:rFonts w:ascii="Times New Roman" w:hAnsi="Times New Roman"/>
          <w:b/>
          <w:color w:val="000000"/>
          <w:sz w:val="20"/>
        </w:rPr>
        <w:t>Emerging Growth Company Status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an emerging growth company, as defined in the JOBS Act. For as long as we are an emerging growth company, we may take advantage of certain exemptions from various reporting requirements that are applicable to other public companies that are not “emerging growth companies,” including, but not limited to, not being required to comply with the auditor attestation requirements of Section 404(b) of the Sarbanes-Oxley Act, reduced disclosure obligations regarding executive compensation in our periodic reports and proxy statements, exemptions from the requirements of holding advisory “say-on-pay” votes on executive compensation and stockholder advisory votes on golden parachute compensation.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Under the JOBS Act, emerging growth companies can also delay adopting new or revised accounting standards issued subsequent to the enactment of the JOBS Act until such time as those standards apply to private companies. We have elected to use this extended transition period for complying with new or revised accounting standards that have different effective dates for public and private companies until the earlier of the date that the Company (i) is no longer an emerging growth company or (ii) affirmatively and irrevocably opts out of the extended transition period provided in the JOBS Act. As a result, our financial statements may not be comparable to companies that comply with the new or revised accounting pronouncements as of public company effective dates. </w:t>
      </w:r>
    </w:p>
    <w:p>
      <w:pPr>
        <w:pStyle w:val="TextBody"/>
        <w:bidi w:val="0"/>
        <w:spacing w:before="240" w:after="283"/>
        <w:jc w:val="left"/>
        <w:rPr/>
      </w:pPr>
      <w:r>
        <w:rPr/>
        <w:t> </w:t>
      </w:r>
    </w:p>
    <w:p>
      <w:pPr>
        <w:pStyle w:val="TextBody"/>
        <w:bidi w:val="0"/>
        <w:spacing w:before="0" w:after="226"/>
        <w:jc w:val="left"/>
        <w:rPr>
          <w:rFonts w:ascii="Times New Roman" w:hAnsi="Times New Roman"/>
          <w:b/>
          <w:color w:val="000000"/>
          <w:sz w:val="20"/>
          <w:u w:val="single"/>
        </w:rPr>
      </w:pPr>
      <w:r>
        <w:rPr>
          <w:rFonts w:ascii="Times New Roman" w:hAnsi="Times New Roman"/>
          <w:b/>
          <w:color w:val="000000"/>
          <w:sz w:val="20"/>
          <w:u w:val="single"/>
        </w:rPr>
        <w:t>Special Note Regarding Forward-Looking Statements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This Quarterly Report includes forward-looking statements within the meaning of the federal securities laws. In some cases, you can identify these statements by forward-looking words such as “may,” “might,” “will,” “should,” “expect,” “plan,” “anticipate,” “believe,” “aim,” “estimates,” “predicts,” “potential” or “continue,” the negative of these terms and other comparable terminology. These forward-looking statements, which are subject to risks, uncertainties and assumptions about us, may include projections of our future financial performance, our anticipated growth strategies and anticipated trends in our business. These statements are only predictions based on our current expectations and projections about future events. There are important factors that could cause our actual results, level of activity, performance or achievements to differ materially from the results, level of activity, performance or achievements expressed or implied by the forward-looking statements, including those factors discussed in Part II, Item 1A “Risk Factors” in this Quarterly Report and in other reports we file with the SEC.</w:t>
      </w:r>
    </w:p>
    <w:p>
      <w:pPr>
        <w:pStyle w:val="TextBody"/>
        <w:bidi w:val="0"/>
        <w:spacing w:before="120" w:after="226"/>
        <w:jc w:val="left"/>
        <w:rPr>
          <w:rFonts w:ascii="Times New Roman" w:hAnsi="Times New Roman"/>
          <w:color w:val="000000"/>
          <w:sz w:val="20"/>
        </w:rPr>
      </w:pPr>
      <w:r>
        <w:rPr>
          <w:rFonts w:ascii="Times New Roman" w:hAnsi="Times New Roman"/>
          <w:color w:val="000000"/>
          <w:sz w:val="20"/>
        </w:rPr>
        <w:t xml:space="preserve">Although we believe the expectations reflected in the forward-looking statements are reasonable, we cannot guarantee future results, level of activity, performance or achievements. Moreover, neither we nor any other person assumes responsibility for the accuracy and completeness of any of these forward-looking statements. We are under no duty to update any of these forward-looking statements after the date of this Quarterly Report to conform our prior statements to actual results or revised expectations.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26"/>
        <w:jc w:val="left"/>
        <w:rPr>
          <w:rFonts w:ascii="Times New Roman" w:hAnsi="Times New Roman"/>
          <w:color w:val="000000"/>
          <w:sz w:val="20"/>
        </w:rPr>
      </w:pPr>
      <w:r>
        <w:rPr>
          <w:rFonts w:ascii="Times New Roman" w:hAnsi="Times New Roman"/>
          <w:color w:val="000000"/>
          <w:sz w:val="20"/>
        </w:rPr>
        <w:t>The following are some important factors that could cause our actual results to differ from our expectations in any forward-looking statements:</w:t>
      </w:r>
    </w:p>
    <w:p>
      <w:pPr>
        <w:pStyle w:val="TextBody"/>
        <w:bidi w:val="0"/>
        <w:spacing w:before="14" w:after="283"/>
        <w:jc w:val="left"/>
        <w:rPr>
          <w:color w:val="000000"/>
        </w:rPr>
      </w:pPr>
      <w:r>
        <w:rPr>
          <w:color w:val="000000"/>
        </w:rPr>
        <w:t>•</w:t>
      </w:r>
    </w:p>
    <w:p>
      <w:pPr>
        <w:pStyle w:val="TextBody"/>
        <w:bidi w:val="0"/>
        <w:spacing w:before="14" w:after="283"/>
        <w:jc w:val="left"/>
        <w:rPr>
          <w:rFonts w:ascii="Times New Roman" w:hAnsi="Times New Roman"/>
          <w:color w:val="000000"/>
          <w:sz w:val="20"/>
        </w:rPr>
      </w:pPr>
      <w:r>
        <w:rPr>
          <w:rFonts w:ascii="Times New Roman" w:hAnsi="Times New Roman"/>
          <w:color w:val="000000"/>
          <w:sz w:val="20"/>
        </w:rPr>
        <w:t xml:space="preserve">our limited operating history, which make our business and future prospects difficult to evaluate;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whether our “Slide” brand becomes as widely known as incumbents’ brands or becomes tarnished;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impact of macroeconomic conditions, including declining consumer confidence, inflation, high unemployment and the read of recession;</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success of the Company's underwriting and profitability initiatives;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failure to establish accurate reserves, failure to adjust claims accurately, the denial of claims or our failure to accurately and timely pay claims;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ability to expand within the United States and additional costs and risks we will be subject to as a result;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intense competition in the segments of the insurance industry in which we operate;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reinsurance is unavailable at current levels and prices, and the counterparty risk we are subject to as a result;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examinations we are periodically subject to by our state insurance regulators, which could result in adverse examination findings and necessitate remedial actions;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historically cyclical nature of the insurance business, including the market for homeowners and commercial residential insurance, which may result in us experiencing periods with excess underwriting capacity and unfavorable premium rates;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weather conditions (including severity and frequency of storms, hurricanes, tornadoes, wildfires and hail);</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highly regulated environment we operate in and the variety of complex federal and state laws and regulations we are subject to; and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significantly increased costs we will incur and substantial management time we will devote as a result of operating as a public company.</w:t>
      </w:r>
    </w:p>
    <w:p>
      <w:pPr>
        <w:pStyle w:val="TextBody"/>
        <w:bidi w:val="0"/>
        <w:spacing w:before="180" w:after="226"/>
        <w:jc w:val="left"/>
        <w:rPr>
          <w:rFonts w:ascii="Times New Roman" w:hAnsi="Times New Roman"/>
          <w:color w:val="000000"/>
          <w:sz w:val="20"/>
        </w:rPr>
      </w:pPr>
      <w:r>
        <w:rPr>
          <w:rFonts w:ascii="Times New Roman" w:hAnsi="Times New Roman"/>
          <w:color w:val="000000"/>
          <w:sz w:val="20"/>
        </w:rPr>
        <w:t>For further discussion of certain of these factors, see the risk factors disclosed in the section entitled “Risk Factors” in this Quarterly Report and in Form 10-K, as filed February 27, 2026.</w:t>
      </w:r>
    </w:p>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bookmarkStart w:id="11" w:name="item_3_quantitative_and_qualitative"/>
      <w:bookmarkEnd w:id="11"/>
      <w:r>
        <w:rPr>
          <w:rFonts w:ascii="Times New Roman" w:hAnsi="Times New Roman"/>
          <w:b/>
          <w:color w:val="000000"/>
          <w:sz w:val="20"/>
        </w:rPr>
        <w:t>Item 3. Quantitative and Qualitative Disclosures About Market Risk.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investment portfolios include fixed-maturity securities, the purposes of which are not for trading or speculation. Our main objective is to maximize after-tax investment income and maintain sufficient liquidity to meet policyholder obligations while minimizing market risk, which is the potential economic loss from adverse fluctuations in securities’ prices. We consider many factors including credit ratings, investment concentrations, regulatory requirements, anticipated fluctuation of interest rates, durations and market conditions in developing investment strategies. Investment securities are managed by BlackRock and are overseen by the investment committee appointed by the board of directors of SIC. Our investment portfolios are primarily exposed to interest rate risk and credit risk. We classify our fixed-maturity securities as available-for-sale and report any unrealized gains or losses, net of deferred income taxes, as a component of other comprehensive income within our shareholders’ equity. As such, any material temporary changes in their fair value can adversely impact the carrying value of our shareholders’ equity. </w:t>
      </w:r>
    </w:p>
    <w:p>
      <w:pPr>
        <w:pStyle w:val="TextBody"/>
        <w:bidi w:val="0"/>
        <w:spacing w:before="360" w:after="283"/>
        <w:jc w:val="left"/>
        <w:rPr>
          <w:rFonts w:ascii="Times New Roman" w:hAnsi="Times New Roman"/>
          <w:sz w:val="20"/>
        </w:rPr>
      </w:pPr>
      <w:r>
        <w:rPr>
          <w:rFonts w:ascii="Times New Roman" w:hAnsi="Times New Roman"/>
          <w:b/>
          <w:i/>
          <w:color w:val="000000"/>
          <w:sz w:val="20"/>
        </w:rPr>
        <w:t>Interest Rate Risk</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fixed-maturity securities are sensitive to potential losses resulting from unfavorable changes in interest rates. We manage the risk by analyzing anticipated movement in interest rates and considering our future capital needs.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following table illustrates the impact of hypothetical changes in interest rates to the fair value of our fixed-maturity securities at March 31, 2026 ($ in thousands): </w:t>
      </w:r>
    </w:p>
    <w:p>
      <w:pPr>
        <w:pStyle w:val="TextBody"/>
        <w:bidi w:val="0"/>
        <w:jc w:val="left"/>
        <w:rPr/>
      </w:pPr>
      <w:r>
        <w:rPr/>
        <w:t> </w:t>
      </w:r>
    </w:p>
    <w:tbl>
      <w:tblPr>
        <w:tblW w:w="7114" w:type="dxa"/>
        <w:jc w:val="left"/>
        <w:tblInd w:w="0" w:type="dxa"/>
        <w:tblLayout w:type="fixed"/>
        <w:tblCellMar>
          <w:top w:w="28" w:type="dxa"/>
          <w:left w:w="28" w:type="dxa"/>
          <w:bottom w:w="28" w:type="dxa"/>
          <w:right w:w="28" w:type="dxa"/>
        </w:tblCellMar>
      </w:tblPr>
      <w:tblGrid>
        <w:gridCol w:w="2896"/>
        <w:gridCol w:w="146"/>
        <w:gridCol w:w="233"/>
        <w:gridCol w:w="862"/>
        <w:gridCol w:w="146"/>
        <w:gridCol w:w="146"/>
        <w:gridCol w:w="211"/>
        <w:gridCol w:w="736"/>
        <w:gridCol w:w="166"/>
        <w:gridCol w:w="146"/>
        <w:gridCol w:w="228"/>
        <w:gridCol w:w="822"/>
        <w:gridCol w:w="376"/>
      </w:tblGrid>
      <w:tr>
        <w:trPr/>
        <w:tc>
          <w:tcPr>
            <w:tcW w:w="28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28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Hypothetical Change in Interest Rates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Estimated</w:t>
              <w:br/>
              <w:t>Fair Value</w:t>
              <w:br/>
              <w:t>After 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 in</w:t>
              <w:br/>
              <w:t>Estimated</w:t>
              <w:br/>
              <w:t>Fair Value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Percentage</w:t>
              <w:br/>
              <w:t>Increase</w:t>
              <w:br/>
              <w:t>(Decrease) in</w:t>
              <w:br/>
              <w:t>Estimated</w:t>
              <w:br/>
              <w:t>Fair Value</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300 basis point increase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623,744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(92,293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8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200 basis point increase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654,865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(61,172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8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100 basis point increase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685,629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8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100 basis point decrease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746,088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8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200 basis point decrease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775,783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59,746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8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300 basis point decrease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805,121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89,084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i/>
          <w:color w:val="000000"/>
          <w:sz w:val="20"/>
        </w:rPr>
        <w:t>Credit Risk</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0"/>
        </w:rPr>
        <w:t>Credit risk can expose us to potential losses arising principally from adverse changes in the financial condition of the issuers of our fixed-maturity securities. We mitigate the risk by primarily investing in fixed-maturity securities that are rated “BBB” or higher and diversifying our investment portfolio to avoid concentrations in any single issuer or business sector. Pursuant to our investment policy, only $1.0 million may be invested in below investment grade bonds. The duration of the financial instruments held in our portfolio that are subject to interest rate risk was 4.10 years and 3.50 years at March 31, 2026 and December 31, 2025, respectively. To the extent interest rates decrease during 2026, we anticipate the fair value of our fixed rate debt securities to be subject to increase. Credit risk results from uncertainty in a counterparty’s ability to meet its obligations. Credit risk is managed by maintaining a high credit quality fixed maturity securities portfolio. As of March 31, 2026, the estimated weighted average credit quality rating of the fixed maturity securities portfolio was AA-, at fair value, consistent with the average rating at December 31, 2025. For more information regarding the composition of our fixed-maturity securities portfolio, see “—</w:t>
      </w:r>
      <w:r>
        <w:rPr>
          <w:rFonts w:ascii="Times New Roman" w:hAnsi="Times New Roman"/>
          <w:i/>
          <w:color w:val="000000"/>
          <w:sz w:val="20"/>
        </w:rPr>
        <w:t>Financial Condition—Investment Portfolio</w:t>
      </w:r>
      <w:r>
        <w:rPr>
          <w:rFonts w:ascii="Times New Roman" w:hAnsi="Times New Roman"/>
          <w:color w:val="000000"/>
          <w:sz w:val="20"/>
        </w:rPr>
        <w:t xml:space="preserve">” within Item 2. </w:t>
      </w:r>
    </w:p>
    <w:p>
      <w:pPr>
        <w:pStyle w:val="TextBody"/>
        <w:bidi w:val="0"/>
        <w:spacing w:before="360" w:after="283"/>
        <w:jc w:val="left"/>
        <w:rPr>
          <w:rFonts w:ascii="Times New Roman" w:hAnsi="Times New Roman"/>
          <w:sz w:val="20"/>
        </w:rPr>
      </w:pPr>
      <w:r>
        <w:rPr>
          <w:rFonts w:ascii="Times New Roman" w:hAnsi="Times New Roman"/>
          <w:b/>
          <w:i/>
          <w:color w:val="000000"/>
          <w:sz w:val="20"/>
        </w:rPr>
        <w:t>Foreign Currency Exchange Risk</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At March 31, 2026, we did not have any material exposure to foreign currency related risk. </w:t>
      </w:r>
    </w:p>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bookmarkStart w:id="12" w:name="item_4_controls_and_procedures"/>
      <w:bookmarkEnd w:id="12"/>
      <w:r>
        <w:rPr>
          <w:rFonts w:ascii="Times New Roman" w:hAnsi="Times New Roman"/>
          <w:b/>
          <w:color w:val="000000"/>
          <w:sz w:val="20"/>
        </w:rPr>
        <w:t>Item 4. Controls and Procedures.</w:t>
      </w:r>
    </w:p>
    <w:p>
      <w:pPr>
        <w:pStyle w:val="TextBody"/>
        <w:bidi w:val="0"/>
        <w:spacing w:before="0" w:after="20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Evaluation of Disclosure Controls and Procedures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maintain disclosure controls and procedures (as defined in Exchange Act Rule 13a-15(e) and 15d-15(e)) that are designed to assure that information required to be disclosed in our Exchange Act reports are recorded, processed, summarized and reported within the time periods specified in the SEC’s rules and forms, and that such information is accumulated and communicated to management, including our Chief Executive Officer and Chief Financial Officer, as appropriate, to allow timely decisions regarding required disclosures. As required by Exchange Act Rule 13a-15(b), as of the end of the period covered by this Quarterly Report, under the supervision and with the participation of our Chief Executive Officer and Chief Financial Officer, we evaluated the effectiveness of our disclosure controls and procedures. Based on this evaluation, our Chief Executive Officer and Chief Financial Officer concluded that our disclosure controls and procedures were effective as of March 31, 2026.</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Changes in Internal Control over Financial Reporting</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During the three months ended March 31, 2026, there were no changes in our internal controls over financial reporting (as defined in Rules 13a-15(f) and 15d-15(f) under the Exchange Act as amended) that have materially affected, or are reasonably likely to materially affect, our internal control over financial reporting. </w:t>
      </w:r>
    </w:p>
    <w:p>
      <w:pPr>
        <w:pStyle w:val="TextBody"/>
        <w:bidi w:val="0"/>
        <w:spacing w:before="360" w:after="283"/>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center"/>
        <w:rPr>
          <w:rFonts w:ascii="Times New Roman" w:hAnsi="Times New Roman"/>
          <w:b/>
          <w:color w:val="000000"/>
          <w:sz w:val="20"/>
        </w:rPr>
      </w:pPr>
      <w:bookmarkStart w:id="13" w:name="part_ii_other_information"/>
      <w:bookmarkEnd w:id="13"/>
      <w:r>
        <w:rPr>
          <w:rFonts w:ascii="Times New Roman" w:hAnsi="Times New Roman"/>
          <w:b/>
          <w:color w:val="000000"/>
          <w:sz w:val="20"/>
        </w:rPr>
        <w:t>PART II—OTHER INFORMATION</w:t>
      </w:r>
    </w:p>
    <w:p>
      <w:pPr>
        <w:pStyle w:val="TextBody"/>
        <w:bidi w:val="0"/>
        <w:spacing w:before="240" w:after="283"/>
        <w:jc w:val="left"/>
        <w:rPr>
          <w:rFonts w:ascii="Times New Roman" w:hAnsi="Times New Roman"/>
          <w:b/>
          <w:color w:val="000000"/>
          <w:sz w:val="20"/>
        </w:rPr>
      </w:pPr>
      <w:bookmarkStart w:id="14" w:name="item_1_legal_proceedings"/>
      <w:bookmarkEnd w:id="14"/>
      <w:r>
        <w:rPr>
          <w:rFonts w:ascii="Times New Roman" w:hAnsi="Times New Roman"/>
          <w:b/>
          <w:color w:val="000000"/>
          <w:sz w:val="20"/>
        </w:rPr>
        <w:t>Item 1. Legal Proceedings.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are subject to routine legal proceedings in the ordinary course of business. We believe that the ultimate resolution of these matters will not have a material adverse effect on our business, financial condition or results of operations.</w:t>
      </w:r>
    </w:p>
    <w:p>
      <w:pPr>
        <w:pStyle w:val="TextBody"/>
        <w:bidi w:val="0"/>
        <w:spacing w:before="360" w:after="283"/>
        <w:jc w:val="left"/>
        <w:rPr>
          <w:rFonts w:ascii="Times New Roman" w:hAnsi="Times New Roman"/>
          <w:b/>
          <w:color w:val="000000"/>
          <w:sz w:val="20"/>
        </w:rPr>
      </w:pPr>
      <w:bookmarkStart w:id="15" w:name="item_1a_risk_factors"/>
      <w:bookmarkEnd w:id="15"/>
      <w:r>
        <w:rPr>
          <w:rFonts w:ascii="Times New Roman" w:hAnsi="Times New Roman"/>
          <w:b/>
          <w:color w:val="000000"/>
          <w:sz w:val="20"/>
        </w:rPr>
        <w:t>Item 1A. Risk Factors.</w:t>
      </w:r>
    </w:p>
    <w:p>
      <w:pPr>
        <w:pStyle w:val="TextBody"/>
        <w:bidi w:val="0"/>
        <w:jc w:val="left"/>
        <w:rPr/>
      </w:pPr>
      <w:r>
        <w:rPr/>
        <w:t> </w:t>
      </w:r>
    </w:p>
    <w:p>
      <w:pPr>
        <w:pStyle w:val="TextBody"/>
        <w:bidi w:val="0"/>
        <w:spacing w:before="0" w:after="351"/>
        <w:jc w:val="left"/>
        <w:rPr>
          <w:rFonts w:ascii="Times New Roman" w:hAnsi="Times New Roman"/>
          <w:color w:val="000000"/>
          <w:sz w:val="20"/>
        </w:rPr>
      </w:pPr>
      <w:r>
        <w:rPr>
          <w:rFonts w:ascii="Times New Roman" w:hAnsi="Times New Roman"/>
          <w:color w:val="000000"/>
          <w:sz w:val="20"/>
        </w:rPr>
        <w:t>Our operations and financial results are subject to various risks and uncertainties. There have been no material changes in our risk factors from those previously disclosed in Part 1, Item 1A, “Risk Factors” in our Annual Report on Form 10-K for the year ended December 31, 2025.</w:t>
      </w:r>
    </w:p>
    <w:p>
      <w:pPr>
        <w:pStyle w:val="TextBody"/>
        <w:bidi w:val="0"/>
        <w:spacing w:before="9" w:after="283"/>
        <w:jc w:val="left"/>
        <w:rPr>
          <w:rFonts w:ascii="Times New Roman" w:hAnsi="Times New Roman"/>
          <w:b/>
          <w:color w:val="000000"/>
          <w:sz w:val="20"/>
        </w:rPr>
      </w:pPr>
      <w:bookmarkStart w:id="16" w:name="item_2_unregistered_sales_of_equity"/>
      <w:bookmarkEnd w:id="16"/>
      <w:r>
        <w:rPr>
          <w:rFonts w:ascii="Times New Roman" w:hAnsi="Times New Roman"/>
          <w:b/>
          <w:color w:val="000000"/>
          <w:sz w:val="20"/>
        </w:rPr>
        <w:t>Item 2. Unregistered Sales of Equity Securities and Use of Proceeds.</w:t>
      </w:r>
    </w:p>
    <w:p>
      <w:pPr>
        <w:pStyle w:val="TextBody"/>
        <w:bidi w:val="0"/>
        <w:jc w:val="left"/>
        <w:rPr/>
      </w:pPr>
      <w:r>
        <w:rPr/>
        <w:t> </w:t>
      </w:r>
    </w:p>
    <w:p>
      <w:pPr>
        <w:pStyle w:val="TextBody"/>
        <w:bidi w:val="0"/>
        <w:spacing w:before="0" w:after="351"/>
        <w:jc w:val="left"/>
        <w:rPr>
          <w:rFonts w:ascii="Times New Roman" w:hAnsi="Times New Roman"/>
          <w:b/>
          <w:color w:val="000000"/>
          <w:sz w:val="20"/>
        </w:rPr>
      </w:pPr>
      <w:r>
        <w:rPr>
          <w:rFonts w:ascii="Times New Roman" w:hAnsi="Times New Roman"/>
          <w:b/>
          <w:color w:val="000000"/>
          <w:sz w:val="20"/>
        </w:rPr>
        <w:t>Issuer Purchases of Equity Securities</w:t>
      </w:r>
    </w:p>
    <w:p>
      <w:pPr>
        <w:pStyle w:val="TextBody"/>
        <w:bidi w:val="0"/>
        <w:jc w:val="left"/>
        <w:rPr>
          <w:rFonts w:ascii="Times New Roman" w:hAnsi="Times New Roman"/>
          <w:color w:val="000000"/>
          <w:sz w:val="20"/>
        </w:rPr>
      </w:pPr>
      <w:r>
        <w:rPr>
          <w:rFonts w:ascii="Times New Roman" w:hAnsi="Times New Roman"/>
          <w:color w:val="000000"/>
          <w:sz w:val="20"/>
        </w:rPr>
        <w:t>The following table presents information related to our repurchases of common stock during the first quarter of 2026:</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952"/>
        <w:gridCol w:w="146"/>
        <w:gridCol w:w="202"/>
        <w:gridCol w:w="1294"/>
        <w:gridCol w:w="146"/>
        <w:gridCol w:w="146"/>
        <w:gridCol w:w="329"/>
        <w:gridCol w:w="896"/>
        <w:gridCol w:w="146"/>
        <w:gridCol w:w="146"/>
        <w:gridCol w:w="318"/>
        <w:gridCol w:w="2260"/>
        <w:gridCol w:w="146"/>
        <w:gridCol w:w="146"/>
        <w:gridCol w:w="648"/>
        <w:gridCol w:w="2087"/>
        <w:gridCol w:w="197"/>
      </w:tblGrid>
      <w:tr>
        <w:trPr/>
        <w:tc>
          <w:tcPr>
            <w:tcW w:w="95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29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226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208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r>
      <w:tr>
        <w:trPr/>
        <w:tc>
          <w:tcPr>
            <w:tcW w:w="9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Period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 number of shares purchased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Average Price Paid Per Share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 xml:space="preserve">Total Number of Shares Purchased as Part of Publicly Announced Plans or Programs </w:t>
            </w:r>
            <w:r>
              <w:rPr>
                <w:rFonts w:ascii="Times New Roman" w:hAnsi="Times New Roman"/>
                <w:b/>
                <w:color w:val="000000"/>
                <w:sz w:val="13"/>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Approximate Dollar Value of Shares that May Yet Be Purchased Under the Plans or Programs</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952"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1/1/2026 - 1/31/2026</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2,627,532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0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80,000</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2/1/2026 - 2/28/2026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2,627,532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80,000</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52"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3/1/2026 - 3/31/2026</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202"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294"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7,724,240</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29"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17.75</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10,351,772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67,891</w:t>
            </w:r>
          </w:p>
        </w:tc>
        <w:tc>
          <w:tcPr>
            <w:tcW w:w="1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9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7,724,240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10,351,772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8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67,891</w:t>
            </w:r>
          </w:p>
        </w:tc>
        <w:tc>
          <w:tcPr>
            <w:tcW w:w="1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351"/>
        <w:jc w:val="left"/>
        <w:rPr>
          <w:rFonts w:ascii="Times New Roman" w:hAnsi="Times New Roman"/>
          <w:color w:val="000000"/>
          <w:sz w:val="20"/>
        </w:rPr>
      </w:pPr>
      <w:r>
        <w:rPr>
          <w:rFonts w:ascii="Times New Roman" w:hAnsi="Times New Roman"/>
          <w:color w:val="000000"/>
          <w:sz w:val="20"/>
        </w:rPr>
        <w:t>(1)</w:t>
      </w:r>
    </w:p>
    <w:p>
      <w:pPr>
        <w:pStyle w:val="TextBody"/>
        <w:bidi w:val="0"/>
        <w:spacing w:before="0" w:after="351"/>
        <w:jc w:val="left"/>
        <w:rPr>
          <w:rFonts w:ascii="Times New Roman" w:hAnsi="Times New Roman"/>
          <w:color w:val="000000"/>
          <w:sz w:val="20"/>
        </w:rPr>
      </w:pPr>
      <w:r>
        <w:rPr>
          <w:rFonts w:ascii="Times New Roman" w:hAnsi="Times New Roman"/>
          <w:color w:val="000000"/>
          <w:sz w:val="20"/>
        </w:rPr>
        <w:t xml:space="preserve">On August 26, 2025, the Board authorized the repurchase program, which allows the Company to repurchase, from time to time, up to $75.0 million of common stock through open market repurchases in compliance with Rule 10b-18 under the Exchange Act and/or in privately negotiated transactions at management’s discretion based on market and business conditions, applicable legal requirements and other factors. On November 4, 2025, the Board authorized an increase to the repurchase program to purchase an additional $45.0 million of common stock. On March 23, 2026, the Company had completed its initial $120 million common stock repurchase plan. On March 23, 2026, the Board authorized a new stock repurchase plan, which allows the Company to repurchase, from time to time, up to $125.0 million of common stock through open market repurchases in compliance with Rule 10b-18 under the Exchange Act and/or in privately negotiated transactions at management’s discretion based on market and business conditions, applicable legal requirements and other factors. For the three months ended March 31, 2026, under the repurchase program and the new stock repurchase program, the Company repurchased 7,724,240 shares of common stock for $137.1 million. </w:t>
      </w:r>
    </w:p>
    <w:p>
      <w:pPr>
        <w:pStyle w:val="TextBody"/>
        <w:bidi w:val="0"/>
        <w:spacing w:before="9" w:after="283"/>
        <w:jc w:val="left"/>
        <w:rPr>
          <w:rFonts w:ascii="Times New Roman" w:hAnsi="Times New Roman"/>
          <w:b/>
          <w:color w:val="000000"/>
          <w:sz w:val="20"/>
        </w:rPr>
      </w:pPr>
      <w:bookmarkStart w:id="17" w:name="item_5_other_information"/>
      <w:bookmarkEnd w:id="17"/>
      <w:r>
        <w:rPr>
          <w:rFonts w:ascii="Times New Roman" w:hAnsi="Times New Roman"/>
          <w:b/>
          <w:color w:val="000000"/>
          <w:sz w:val="20"/>
        </w:rPr>
        <w:t>Item 5. Other Information.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None of the Company's directors or officers (as defined in Rule 16a-1(f)) adopted, modified or terminated a “Rule 10b5-1 trading arrangement” or “non-Rule 10b5-1 trading arrangement” (as defined in Item 408(c) of SEC Regulation S-K) during the quarter ended March 31, 2026, except as described in the table below:</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538"/>
        <w:gridCol w:w="146"/>
        <w:gridCol w:w="1436"/>
        <w:gridCol w:w="146"/>
        <w:gridCol w:w="1646"/>
        <w:gridCol w:w="146"/>
        <w:gridCol w:w="1608"/>
        <w:gridCol w:w="146"/>
        <w:gridCol w:w="1649"/>
        <w:gridCol w:w="146"/>
        <w:gridCol w:w="249"/>
        <w:gridCol w:w="1155"/>
        <w:gridCol w:w="194"/>
      </w:tblGrid>
      <w:tr>
        <w:trPr/>
        <w:tc>
          <w:tcPr>
            <w:tcW w:w="153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0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4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15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Name and Title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Date Adopted or Terminated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rPr>
              <w:t>Type of Trading Arrangement</w:t>
            </w:r>
            <w:r>
              <w:rPr>
                <w:rFonts w:ascii="Times New Roman" w:hAnsi="Times New Roman"/>
                <w:b/>
                <w:color w:val="000000"/>
                <w:sz w:val="13"/>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Nature of Trading Arrangement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Duration of Trading Arrangement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0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Aggregate Number of Securities</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5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Andrew Wright (MAOV Slide, LLC), Director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Rule 10b5-1 trading arrangement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61,002</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bookmarkStart w:id="18" w:name="item_6_exhibits"/>
      <w:bookmarkEnd w:id="18"/>
      <w:r>
        <w:rPr>
          <w:rFonts w:ascii="Times New Roman" w:hAnsi="Times New Roman"/>
          <w:b/>
          <w:color w:val="000000"/>
          <w:sz w:val="20"/>
        </w:rPr>
        <w:t>Item 6. Exhibits.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84"/>
        <w:gridCol w:w="146"/>
        <w:gridCol w:w="9275"/>
      </w:tblGrid>
      <w:tr>
        <w:trPr/>
        <w:tc>
          <w:tcPr>
            <w:tcW w:w="78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275" w:type="dxa"/>
            <w:tcBorders/>
            <w:vAlign w:val="center"/>
          </w:tcPr>
          <w:p>
            <w:pPr>
              <w:pStyle w:val="TableContents"/>
              <w:bidi w:val="0"/>
              <w:spacing w:before="0" w:after="283"/>
              <w:jc w:val="left"/>
              <w:rPr>
                <w:sz w:val="4"/>
                <w:szCs w:val="4"/>
              </w:rPr>
            </w:pPr>
            <w:r>
              <w:rPr>
                <w:sz w:val="4"/>
                <w:szCs w:val="4"/>
              </w:rPr>
            </w:r>
          </w:p>
        </w:tc>
      </w:tr>
      <w:tr>
        <w:trPr/>
        <w:tc>
          <w:tcPr>
            <w:tcW w:w="784" w:type="dxa"/>
            <w:tcBorders>
              <w:bottom w:val="single" w:sz="2" w:space="0" w:color="000000"/>
            </w:tcBorders>
            <w:shd w:fill="FFFFFF" w:val="clear"/>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275"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Description</w:t>
            </w:r>
          </w:p>
        </w:tc>
      </w:tr>
      <w:tr>
        <w:trPr/>
        <w:tc>
          <w:tcPr>
            <w:tcW w:w="7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5"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lde-ex31_1.htm">
              <w:r>
                <w:rPr>
                  <w:rStyle w:val="InternetLink"/>
                  <w:rFonts w:ascii="Times New Roman" w:hAnsi="Times New Roman"/>
                  <w:color w:val="0000FF"/>
                  <w:sz w:val="20"/>
                  <w:u w:val="single"/>
                </w:rPr>
                <w:t>Certification of Principal Executive Officer Pursuant to Rules 13a-14(a) and 15d-14(a) under the Securities Exchange Act of 1934, as Adopted Pursuant to Section 302 of the Sarbanes-Oxley Act of 2002.</w:t>
              </w:r>
            </w:hyperlink>
          </w:p>
        </w:tc>
      </w:tr>
      <w:tr>
        <w:trPr/>
        <w:tc>
          <w:tcPr>
            <w:tcW w:w="7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5"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lde-ex31_2.htm">
              <w:r>
                <w:rPr>
                  <w:rStyle w:val="InternetLink"/>
                  <w:rFonts w:ascii="Times New Roman" w:hAnsi="Times New Roman"/>
                  <w:color w:val="0000FF"/>
                  <w:sz w:val="20"/>
                  <w:u w:val="single"/>
                </w:rPr>
                <w:t>Certification of Principal Financial Officer Pursuant to Rules 13a-14(a) and 15d-14(a) under the Securities Exchange Act of 1934, as Adopted Pursuant to Section 302 of the Sarbanes-Oxley Act of 2002.</w:t>
              </w:r>
            </w:hyperlink>
          </w:p>
        </w:tc>
      </w:tr>
      <w:tr>
        <w:trPr/>
        <w:tc>
          <w:tcPr>
            <w:tcW w:w="7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5"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lde-ex32_1.htm">
              <w:r>
                <w:rPr>
                  <w:rStyle w:val="InternetLink"/>
                  <w:rFonts w:ascii="Times New Roman" w:hAnsi="Times New Roman"/>
                  <w:color w:val="0000FF"/>
                  <w:sz w:val="20"/>
                  <w:u w:val="single"/>
                </w:rPr>
                <w:t>Certification of Principal Executive Officer Pursuant to 18 U.S.C. Section 1350, as Adopted Pursuant to Section 906 of the Sarbanes-Oxley Act of 2002.</w:t>
              </w:r>
            </w:hyperlink>
          </w:p>
        </w:tc>
      </w:tr>
      <w:tr>
        <w:trPr/>
        <w:tc>
          <w:tcPr>
            <w:tcW w:w="7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5"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lde-ex32_2.htm">
              <w:r>
                <w:rPr>
                  <w:rStyle w:val="InternetLink"/>
                  <w:rFonts w:ascii="Times New Roman" w:hAnsi="Times New Roman"/>
                  <w:color w:val="0000FF"/>
                  <w:sz w:val="20"/>
                  <w:u w:val="single"/>
                </w:rPr>
                <w:t>Certification of Principal Financial Officer Pursuant to 18 U.S.C. Section 1350, as Adopted Pursuant to Section 906 of the Sarbanes-Oxley Act of 2002.</w:t>
              </w:r>
            </w:hyperlink>
          </w:p>
        </w:tc>
      </w:tr>
      <w:tr>
        <w:trPr/>
        <w:tc>
          <w:tcPr>
            <w:tcW w:w="7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101.INS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Instance Document – the instance document does not appear in the Interactive Data File because XBRL tags are embedded within the Inline XBRL document.</w:t>
            </w:r>
          </w:p>
        </w:tc>
      </w:tr>
      <w:tr>
        <w:trPr/>
        <w:tc>
          <w:tcPr>
            <w:tcW w:w="7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101.SCH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Schema With Embedded Linkbase Documents</w:t>
            </w:r>
          </w:p>
        </w:tc>
      </w:tr>
      <w:tr>
        <w:trPr/>
        <w:tc>
          <w:tcPr>
            <w:tcW w:w="7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pBdr>
          <w:bottom w:val="single" w:sz="4" w:space="1" w:color="000000"/>
        </w:pBdr>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Filed herewith.</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Furnished herewith.</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19" w:name="signatures"/>
      <w:bookmarkEnd w:id="19"/>
      <w:r>
        <w:rPr>
          <w:rFonts w:ascii="Times New Roman" w:hAnsi="Times New Roman"/>
          <w:b/>
          <w:color w:val="000000"/>
          <w:sz w:val="20"/>
        </w:rPr>
        <w:t>SIGNATURES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p>
      <w:pPr>
        <w:pStyle w:val="TextBody"/>
        <w:bidi w:val="0"/>
        <w:jc w:val="left"/>
        <w:rPr/>
      </w:pPr>
      <w:r>
        <w:rPr/>
        <w:t> </w:t>
      </w:r>
    </w:p>
    <w:tbl>
      <w:tblPr>
        <w:tblW w:w="6899" w:type="dxa"/>
        <w:jc w:val="left"/>
        <w:tblInd w:w="0" w:type="dxa"/>
        <w:tblLayout w:type="fixed"/>
        <w:tblCellMar>
          <w:top w:w="28" w:type="dxa"/>
          <w:left w:w="28" w:type="dxa"/>
          <w:bottom w:w="28" w:type="dxa"/>
          <w:right w:w="28" w:type="dxa"/>
        </w:tblCellMar>
      </w:tblPr>
      <w:tblGrid>
        <w:gridCol w:w="1786"/>
        <w:gridCol w:w="146"/>
        <w:gridCol w:w="406"/>
        <w:gridCol w:w="4561"/>
      </w:tblGrid>
      <w:tr>
        <w:trPr/>
        <w:tc>
          <w:tcPr>
            <w:tcW w:w="17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561" w:type="dxa"/>
            <w:tcBorders/>
            <w:vAlign w:val="center"/>
          </w:tcPr>
          <w:p>
            <w:pPr>
              <w:pStyle w:val="TableContents"/>
              <w:bidi w:val="0"/>
              <w:spacing w:before="0" w:after="283"/>
              <w:jc w:val="left"/>
              <w:rPr>
                <w:sz w:val="4"/>
                <w:szCs w:val="4"/>
              </w:rPr>
            </w:pPr>
            <w:r>
              <w:rPr>
                <w:sz w:val="4"/>
                <w:szCs w:val="4"/>
              </w:rPr>
            </w:r>
          </w:p>
        </w:tc>
      </w:tr>
      <w:tr>
        <w:trPr/>
        <w:tc>
          <w:tcPr>
            <w:tcW w:w="17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7"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Slide Insurance Holdings, Inc.</w:t>
            </w:r>
          </w:p>
        </w:tc>
      </w:tr>
      <w:tr>
        <w:trPr/>
        <w:tc>
          <w:tcPr>
            <w:tcW w:w="17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April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6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Bruce Lucas</w:t>
            </w:r>
          </w:p>
        </w:tc>
      </w:tr>
      <w:tr>
        <w:trPr/>
        <w:tc>
          <w:tcPr>
            <w:tcW w:w="17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456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Bruce Lucas</w:t>
            </w:r>
          </w:p>
        </w:tc>
      </w:tr>
      <w:tr>
        <w:trPr/>
        <w:tc>
          <w:tcPr>
            <w:tcW w:w="17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Its:</w:t>
            </w:r>
          </w:p>
        </w:tc>
        <w:tc>
          <w:tcPr>
            <w:tcW w:w="456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Chief Executive Officer (Duly Authorized Officer)</w:t>
            </w:r>
          </w:p>
        </w:tc>
      </w:tr>
      <w:tr>
        <w:trPr/>
        <w:tc>
          <w:tcPr>
            <w:tcW w:w="17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April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6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Anastasios Omiridis</w:t>
            </w:r>
          </w:p>
        </w:tc>
      </w:tr>
      <w:tr>
        <w:trPr/>
        <w:tc>
          <w:tcPr>
            <w:tcW w:w="17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456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Anastasios Omiridis</w:t>
            </w:r>
          </w:p>
        </w:tc>
      </w:tr>
      <w:tr>
        <w:trPr/>
        <w:tc>
          <w:tcPr>
            <w:tcW w:w="17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Its:</w:t>
            </w:r>
          </w:p>
        </w:tc>
        <w:tc>
          <w:tcPr>
            <w:tcW w:w="456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Chief Financial Officer (Principal Financial Officer)</w:t>
            </w:r>
          </w:p>
        </w:tc>
      </w:tr>
    </w:tbl>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0" w:name="slde-ex31_1.htm"/>
      <w:bookmarkStart w:id="21" w:name="kssldeex31_1"/>
      <w:bookmarkEnd w:id="20"/>
      <w:bookmarkEnd w:id="21"/>
      <w:r>
        <w:rPr>
          <w:rFonts w:ascii="Times New Roman" w:hAnsi="Times New Roman"/>
          <w:b/>
          <w:color w:val="000000"/>
          <w:sz w:val="20"/>
        </w:rPr>
        <w:t>Exhibit 31.1</w:t>
      </w:r>
      <w:r>
        <w:br w:type="page"/>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OF PRINCIPAL EXECUTIVE OFFICER PURSUANT TO</w:t>
      </w:r>
    </w:p>
    <w:p>
      <w:pPr>
        <w:pStyle w:val="TextBody"/>
        <w:bidi w:val="0"/>
        <w:jc w:val="center"/>
        <w:rPr>
          <w:rFonts w:ascii="Times New Roman" w:hAnsi="Times New Roman"/>
          <w:b/>
          <w:color w:val="000000"/>
          <w:sz w:val="20"/>
        </w:rPr>
      </w:pPr>
      <w:r>
        <w:rPr>
          <w:rFonts w:ascii="Times New Roman" w:hAnsi="Times New Roman"/>
          <w:b/>
          <w:color w:val="000000"/>
          <w:sz w:val="20"/>
        </w:rPr>
        <w:t>RULES 13a-14(a) AND 15d-14(a) UNDER THE SECURITIES EXCHANGE ACT OF 1934,</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Bruce Lucas, certify that: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 have reviewed this Quarterly Report on Form 10-Q for the quarter ended March 31, 2026 of Slide Insurance Holdings, Inc.;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Paragraph omitted pursuant to Rule 13a-14;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4469" w:type="dxa"/>
        <w:jc w:val="left"/>
        <w:tblInd w:w="0" w:type="dxa"/>
        <w:tblLayout w:type="fixed"/>
        <w:tblCellMar>
          <w:top w:w="28" w:type="dxa"/>
          <w:left w:w="28" w:type="dxa"/>
          <w:bottom w:w="28" w:type="dxa"/>
          <w:right w:w="28" w:type="dxa"/>
        </w:tblCellMar>
      </w:tblPr>
      <w:tblGrid>
        <w:gridCol w:w="1786"/>
        <w:gridCol w:w="146"/>
        <w:gridCol w:w="406"/>
        <w:gridCol w:w="2131"/>
      </w:tblGrid>
      <w:tr>
        <w:trPr/>
        <w:tc>
          <w:tcPr>
            <w:tcW w:w="17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131" w:type="dxa"/>
            <w:tcBorders/>
            <w:vAlign w:val="center"/>
          </w:tcPr>
          <w:p>
            <w:pPr>
              <w:pStyle w:val="TableContents"/>
              <w:bidi w:val="0"/>
              <w:spacing w:before="0" w:after="283"/>
              <w:jc w:val="left"/>
              <w:rPr>
                <w:sz w:val="4"/>
                <w:szCs w:val="4"/>
              </w:rPr>
            </w:pPr>
            <w:r>
              <w:rPr>
                <w:sz w:val="4"/>
                <w:szCs w:val="4"/>
              </w:rPr>
            </w:r>
          </w:p>
        </w:tc>
      </w:tr>
      <w:tr>
        <w:trPr/>
        <w:tc>
          <w:tcPr>
            <w:tcW w:w="17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April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13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Bruce Lucas</w:t>
            </w:r>
          </w:p>
        </w:tc>
      </w:tr>
      <w:tr>
        <w:trPr/>
        <w:tc>
          <w:tcPr>
            <w:tcW w:w="17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Bruce Lucas</w:t>
            </w:r>
          </w:p>
        </w:tc>
      </w:tr>
      <w:tr>
        <w:trPr/>
        <w:tc>
          <w:tcPr>
            <w:tcW w:w="17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Chief Executive Officer</w:t>
            </w:r>
          </w:p>
        </w:tc>
      </w:tr>
    </w:tbl>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2" w:name="slde-ex31_2.htm"/>
      <w:bookmarkStart w:id="23" w:name="kssldeex31_2"/>
      <w:bookmarkEnd w:id="22"/>
      <w:bookmarkEnd w:id="23"/>
      <w:r>
        <w:rPr>
          <w:rFonts w:ascii="Times New Roman" w:hAnsi="Times New Roman"/>
          <w:b/>
          <w:color w:val="000000"/>
          <w:sz w:val="20"/>
        </w:rPr>
        <w:t>Exhibit 31.2</w:t>
      </w:r>
      <w:r>
        <w:br w:type="page"/>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OF PRINCIPAL FINANCIAL OFFICER PURSUANT TO</w:t>
      </w:r>
    </w:p>
    <w:p>
      <w:pPr>
        <w:pStyle w:val="TextBody"/>
        <w:bidi w:val="0"/>
        <w:jc w:val="center"/>
        <w:rPr>
          <w:rFonts w:ascii="Times New Roman" w:hAnsi="Times New Roman"/>
          <w:b/>
          <w:color w:val="000000"/>
          <w:sz w:val="20"/>
        </w:rPr>
      </w:pPr>
      <w:r>
        <w:rPr>
          <w:rFonts w:ascii="Times New Roman" w:hAnsi="Times New Roman"/>
          <w:b/>
          <w:color w:val="000000"/>
          <w:sz w:val="20"/>
        </w:rPr>
        <w:t>RULES 13a-14(a) AND 15d-14(a) UNDER THE SECURITIES EXCHANGE ACT OF 1934,</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Anastasios Omiridis, certify that:</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 have reviewed this Quarterly Report on Form 10-Q for the quarter ended March 31, 2026 of Slide Insurance Holding, Inc.;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Paragraph omitted pursuant to Rule 13a-14;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4402" w:type="dxa"/>
        <w:jc w:val="left"/>
        <w:tblInd w:w="0" w:type="dxa"/>
        <w:tblLayout w:type="fixed"/>
        <w:tblCellMar>
          <w:top w:w="28" w:type="dxa"/>
          <w:left w:w="28" w:type="dxa"/>
          <w:bottom w:w="28" w:type="dxa"/>
          <w:right w:w="28" w:type="dxa"/>
        </w:tblCellMar>
      </w:tblPr>
      <w:tblGrid>
        <w:gridCol w:w="1786"/>
        <w:gridCol w:w="109"/>
        <w:gridCol w:w="406"/>
        <w:gridCol w:w="2101"/>
      </w:tblGrid>
      <w:tr>
        <w:trPr/>
        <w:tc>
          <w:tcPr>
            <w:tcW w:w="17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101" w:type="dxa"/>
            <w:tcBorders/>
            <w:vAlign w:val="center"/>
          </w:tcPr>
          <w:p>
            <w:pPr>
              <w:pStyle w:val="TableContents"/>
              <w:bidi w:val="0"/>
              <w:spacing w:before="0" w:after="283"/>
              <w:jc w:val="left"/>
              <w:rPr>
                <w:sz w:val="4"/>
                <w:szCs w:val="4"/>
              </w:rPr>
            </w:pPr>
            <w:r>
              <w:rPr>
                <w:sz w:val="4"/>
                <w:szCs w:val="4"/>
              </w:rPr>
            </w:r>
          </w:p>
        </w:tc>
      </w:tr>
      <w:tr>
        <w:trPr/>
        <w:tc>
          <w:tcPr>
            <w:tcW w:w="17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April 30,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10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Anastasios Omiridis</w:t>
            </w:r>
          </w:p>
        </w:tc>
      </w:tr>
      <w:tr>
        <w:trPr/>
        <w:tc>
          <w:tcPr>
            <w:tcW w:w="17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Anastasios Omiridis</w:t>
            </w:r>
          </w:p>
        </w:tc>
      </w:tr>
      <w:tr>
        <w:trPr/>
        <w:tc>
          <w:tcPr>
            <w:tcW w:w="17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Chief Financial Officer</w:t>
            </w:r>
          </w:p>
        </w:tc>
      </w:tr>
    </w:tbl>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4" w:name="slde-ex32_1.htm"/>
      <w:bookmarkStart w:id="25" w:name="kssldeex32_1"/>
      <w:bookmarkEnd w:id="24"/>
      <w:bookmarkEnd w:id="25"/>
      <w:r>
        <w:rPr>
          <w:rFonts w:ascii="Times New Roman" w:hAnsi="Times New Roman"/>
          <w:b/>
          <w:color w:val="000000"/>
          <w:sz w:val="20"/>
        </w:rPr>
        <w:t>Exhibit 32.1</w:t>
      </w:r>
      <w:r>
        <w:br w:type="page"/>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OF PRINCIPAL EXECUTIVE OFFICER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 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Quarterly Report of Slide Insurance Holdings, Inc. (the “Company”) on Form 10-Q for the period ending March 31, 2026 as filed with the Securities and Exchange Commission on the date hereof (the “Report”), I certify, pursuant to 18 U.S.C. § 1350, as adopted pursuant to § 906 of the Sarbanes-Oxley Act of 2002,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 of operations of the Company.</w:t>
      </w:r>
    </w:p>
    <w:p>
      <w:pPr>
        <w:pStyle w:val="TextBody"/>
        <w:bidi w:val="0"/>
        <w:jc w:val="left"/>
        <w:rPr/>
      </w:pPr>
      <w:r>
        <w:rPr/>
        <w:t> </w:t>
      </w:r>
    </w:p>
    <w:tbl>
      <w:tblPr>
        <w:tblW w:w="4469" w:type="dxa"/>
        <w:jc w:val="left"/>
        <w:tblInd w:w="0" w:type="dxa"/>
        <w:tblLayout w:type="fixed"/>
        <w:tblCellMar>
          <w:top w:w="28" w:type="dxa"/>
          <w:left w:w="28" w:type="dxa"/>
          <w:bottom w:w="28" w:type="dxa"/>
          <w:right w:w="28" w:type="dxa"/>
        </w:tblCellMar>
      </w:tblPr>
      <w:tblGrid>
        <w:gridCol w:w="1786"/>
        <w:gridCol w:w="146"/>
        <w:gridCol w:w="406"/>
        <w:gridCol w:w="2131"/>
      </w:tblGrid>
      <w:tr>
        <w:trPr/>
        <w:tc>
          <w:tcPr>
            <w:tcW w:w="17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131" w:type="dxa"/>
            <w:tcBorders/>
            <w:vAlign w:val="center"/>
          </w:tcPr>
          <w:p>
            <w:pPr>
              <w:pStyle w:val="TableContents"/>
              <w:bidi w:val="0"/>
              <w:spacing w:before="0" w:after="283"/>
              <w:jc w:val="left"/>
              <w:rPr>
                <w:sz w:val="4"/>
                <w:szCs w:val="4"/>
              </w:rPr>
            </w:pPr>
            <w:r>
              <w:rPr>
                <w:sz w:val="4"/>
                <w:szCs w:val="4"/>
              </w:rPr>
            </w:r>
          </w:p>
        </w:tc>
      </w:tr>
      <w:tr>
        <w:trPr/>
        <w:tc>
          <w:tcPr>
            <w:tcW w:w="17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April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13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Bruce Lucas</w:t>
            </w:r>
          </w:p>
        </w:tc>
      </w:tr>
      <w:tr>
        <w:trPr/>
        <w:tc>
          <w:tcPr>
            <w:tcW w:w="17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Bruce Lucas</w:t>
            </w:r>
          </w:p>
        </w:tc>
      </w:tr>
      <w:tr>
        <w:trPr/>
        <w:tc>
          <w:tcPr>
            <w:tcW w:w="17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Chief Executive Officer</w:t>
            </w:r>
          </w:p>
        </w:tc>
      </w:tr>
    </w:tbl>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6" w:name="slde-ex32_2.htm"/>
      <w:bookmarkStart w:id="27" w:name="kssldeex32_2"/>
      <w:bookmarkEnd w:id="26"/>
      <w:bookmarkEnd w:id="27"/>
      <w:r>
        <w:rPr>
          <w:rFonts w:ascii="Times New Roman" w:hAnsi="Times New Roman"/>
          <w:b/>
          <w:color w:val="000000"/>
          <w:sz w:val="20"/>
        </w:rPr>
        <w:t>Exhibit 32.2</w:t>
      </w:r>
      <w:r>
        <w:br w:type="page"/>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OF PRINCIPAL FINANCIAL OFFICER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 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Quarterly Report of Slide Insurance Holdings, Inc. (the “Company”) on Form 10-Q for the period ending March 31, 2026 as filed with the Securities and Exchange Commission on the date hereof (the “Report”), I certify, pursuant to 18 U.S.C. § 1350, as adopted pursuant to § 906 of the Sarbanes-Oxley Act of 2002,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 of operations of the Company.</w:t>
      </w:r>
    </w:p>
    <w:p>
      <w:pPr>
        <w:pStyle w:val="TextBody"/>
        <w:bidi w:val="0"/>
        <w:jc w:val="left"/>
        <w:rPr/>
      </w:pPr>
      <w:r>
        <w:rPr/>
        <w:t> </w:t>
      </w:r>
    </w:p>
    <w:tbl>
      <w:tblPr>
        <w:tblW w:w="4402" w:type="dxa"/>
        <w:jc w:val="left"/>
        <w:tblInd w:w="0" w:type="dxa"/>
        <w:tblLayout w:type="fixed"/>
        <w:tblCellMar>
          <w:top w:w="28" w:type="dxa"/>
          <w:left w:w="28" w:type="dxa"/>
          <w:bottom w:w="28" w:type="dxa"/>
          <w:right w:w="28" w:type="dxa"/>
        </w:tblCellMar>
      </w:tblPr>
      <w:tblGrid>
        <w:gridCol w:w="1786"/>
        <w:gridCol w:w="109"/>
        <w:gridCol w:w="406"/>
        <w:gridCol w:w="2101"/>
      </w:tblGrid>
      <w:tr>
        <w:trPr/>
        <w:tc>
          <w:tcPr>
            <w:tcW w:w="17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101" w:type="dxa"/>
            <w:tcBorders/>
            <w:vAlign w:val="center"/>
          </w:tcPr>
          <w:p>
            <w:pPr>
              <w:pStyle w:val="TableContents"/>
              <w:bidi w:val="0"/>
              <w:spacing w:before="0" w:after="283"/>
              <w:jc w:val="left"/>
              <w:rPr>
                <w:sz w:val="4"/>
                <w:szCs w:val="4"/>
              </w:rPr>
            </w:pPr>
            <w:r>
              <w:rPr>
                <w:sz w:val="4"/>
                <w:szCs w:val="4"/>
              </w:rPr>
            </w:r>
          </w:p>
        </w:tc>
      </w:tr>
      <w:tr>
        <w:trPr/>
        <w:tc>
          <w:tcPr>
            <w:tcW w:w="17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April 30,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10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Anastasios Omiridis</w:t>
            </w:r>
          </w:p>
        </w:tc>
      </w:tr>
      <w:tr>
        <w:trPr/>
        <w:tc>
          <w:tcPr>
            <w:tcW w:w="17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Anastasios Omiridis</w:t>
            </w:r>
          </w:p>
        </w:tc>
      </w:tr>
      <w:tr>
        <w:trPr/>
        <w:tc>
          <w:tcPr>
            <w:tcW w:w="17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Chief Financial Officer</w:t>
            </w:r>
          </w:p>
        </w:tc>
      </w:tr>
    </w:tbl>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21681</Words>
  <Characters>119133</Characters>
  <CharactersWithSpaces>142352</CharactersWithSpaces>
  <Paragraphs>7216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